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C" w:rsidRDefault="009828AC" w:rsidP="00B05AAA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noProof/>
          <w:w w:val="100"/>
          <w:sz w:val="52"/>
          <w:lang w:val="en-AU" w:eastAsia="en-AU"/>
        </w:rPr>
      </w:pPr>
      <w:r>
        <w:rPr>
          <w:rFonts w:cs="Arial"/>
          <w:b w:val="0"/>
          <w:noProof/>
          <w:w w:val="100"/>
          <w:sz w:val="52"/>
          <w:lang w:val="en-AU"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-20955</wp:posOffset>
            </wp:positionV>
            <wp:extent cx="1137285" cy="904875"/>
            <wp:effectExtent l="0" t="0" r="571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CFC">
        <w:rPr>
          <w:rFonts w:cs="Arial"/>
          <w:b w:val="0"/>
          <w:noProof/>
          <w:w w:val="100"/>
          <w:sz w:val="52"/>
          <w:lang w:val="en-AU" w:eastAsia="en-AU"/>
        </w:rPr>
        <w:t>Hydrocephalus and Shunt</w:t>
      </w:r>
    </w:p>
    <w:p w:rsidR="000B08CA" w:rsidRPr="00C17BB5" w:rsidRDefault="00C456E7" w:rsidP="00B05AAA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rFonts w:cs="Arial"/>
          <w:b w:val="0"/>
          <w:w w:val="110"/>
          <w:sz w:val="52"/>
        </w:rPr>
        <w:t xml:space="preserve"> Care Plan</w:t>
      </w:r>
    </w:p>
    <w:p w:rsidR="000B08CA" w:rsidRPr="006D2505" w:rsidRDefault="00E32652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>f</w:t>
      </w:r>
      <w:r w:rsidR="00FF6BA6" w:rsidRPr="006D2505">
        <w:rPr>
          <w:rFonts w:ascii="Arial" w:hAnsi="Arial" w:cs="Arial"/>
          <w:bCs/>
          <w:sz w:val="26"/>
        </w:rPr>
        <w:t>or</w:t>
      </w:r>
      <w:r>
        <w:rPr>
          <w:rFonts w:ascii="Arial" w:hAnsi="Arial" w:cs="Arial"/>
          <w:bCs/>
          <w:sz w:val="26"/>
        </w:rPr>
        <w:t xml:space="preserve"> </w:t>
      </w:r>
      <w:r w:rsidR="00FF6BA6" w:rsidRPr="006D2505">
        <w:rPr>
          <w:rFonts w:ascii="Arial" w:hAnsi="Arial" w:cs="Arial"/>
          <w:bCs/>
          <w:sz w:val="26"/>
        </w:rPr>
        <w:t>education</w:t>
      </w:r>
      <w:r w:rsidR="004C42D4">
        <w:rPr>
          <w:rFonts w:ascii="Arial" w:hAnsi="Arial" w:cs="Arial"/>
          <w:bCs/>
          <w:sz w:val="26"/>
        </w:rPr>
        <w:t xml:space="preserve"> and care </w:t>
      </w:r>
    </w:p>
    <w:p w:rsidR="000B08CA" w:rsidRPr="006D2505" w:rsidRDefault="000670D5">
      <w:pPr>
        <w:rPr>
          <w:rFonts w:ascii="Arial" w:hAnsi="Arial" w:cs="Arial"/>
          <w:sz w:val="8"/>
          <w:szCs w:val="8"/>
        </w:rPr>
      </w:pPr>
      <w:r>
        <w:rPr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4AB54684" wp14:editId="275F0C0C">
            <wp:simplePos x="0" y="0"/>
            <wp:positionH relativeFrom="column">
              <wp:posOffset>1736725</wp:posOffset>
            </wp:positionH>
            <wp:positionV relativeFrom="paragraph">
              <wp:posOffset>29845</wp:posOffset>
            </wp:positionV>
            <wp:extent cx="2560320" cy="3232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842"/>
        <w:gridCol w:w="2127"/>
      </w:tblGrid>
      <w:tr w:rsidR="000670D5" w:rsidRPr="001E7580" w:rsidTr="00EF0B9E">
        <w:trPr>
          <w:trHeight w:val="48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0D5" w:rsidRPr="001E7580" w:rsidRDefault="000670D5" w:rsidP="00EF0B9E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0670D5" w:rsidRPr="00D24172" w:rsidRDefault="000670D5" w:rsidP="00EF0B9E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40D7F403" wp14:editId="37B8E1A5">
                      <wp:extent cx="1211580" cy="1211580"/>
                      <wp:effectExtent l="0" t="0" r="7620" b="762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670D5" w:rsidRPr="001E7580" w:rsidTr="00EF0B9E">
        <w:trPr>
          <w:trHeight w:val="57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828AC" w:rsidRDefault="009828AC" w:rsidP="00EF0B9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  <w:p w:rsidR="000670D5" w:rsidRPr="004C42F6" w:rsidRDefault="000670D5" w:rsidP="00EF0B9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 xml:space="preserve">To be completed by the treating </w:t>
            </w:r>
            <w:r>
              <w:rPr>
                <w:rFonts w:ascii="Arial" w:hAnsi="Arial" w:cs="Arial"/>
                <w:snapToGrid w:val="0"/>
                <w:sz w:val="14"/>
              </w:rPr>
              <w:t>health</w:t>
            </w:r>
            <w:r w:rsidRPr="004C42F6">
              <w:rPr>
                <w:rFonts w:ascii="Arial" w:hAnsi="Arial" w:cs="Arial"/>
                <w:snapToGrid w:val="0"/>
                <w:sz w:val="14"/>
              </w:rPr>
              <w:t xml:space="preserve"> profession</w:t>
            </w:r>
            <w:r>
              <w:rPr>
                <w:rFonts w:ascii="Arial" w:hAnsi="Arial" w:cs="Arial"/>
                <w:snapToGrid w:val="0"/>
                <w:sz w:val="14"/>
              </w:rPr>
              <w:t>al and parent or legal guardian.</w:t>
            </w:r>
          </w:p>
          <w:p w:rsidR="000670D5" w:rsidRPr="004C42F6" w:rsidRDefault="000670D5" w:rsidP="00EF0B9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  <w:p w:rsidR="000670D5" w:rsidRPr="004C42F6" w:rsidRDefault="000670D5" w:rsidP="00EF0B9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:rsidR="000670D5" w:rsidRPr="001E7580" w:rsidRDefault="000670D5" w:rsidP="00EF0B9E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70D5" w:rsidRDefault="000670D5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670D5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70D5" w:rsidRDefault="000670D5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670D5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70D5" w:rsidRDefault="000670D5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670D5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670D5" w:rsidRDefault="000670D5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0670D5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0D5" w:rsidRPr="00402EB9" w:rsidRDefault="000670D5" w:rsidP="00EF0B9E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70D5" w:rsidRDefault="000670D5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BE775D" w:rsidRDefault="00BE775D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529"/>
        <w:gridCol w:w="141"/>
        <w:gridCol w:w="4536"/>
      </w:tblGrid>
      <w:tr w:rsidR="00A52CFC" w:rsidRPr="006D2505" w:rsidTr="009828AC">
        <w:trPr>
          <w:cantSplit/>
          <w:trHeight w:val="3501"/>
        </w:trPr>
        <w:tc>
          <w:tcPr>
            <w:tcW w:w="5670" w:type="dxa"/>
            <w:gridSpan w:val="2"/>
          </w:tcPr>
          <w:p w:rsidR="009828AC" w:rsidRDefault="009828AC" w:rsidP="003B6981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52CFC" w:rsidRDefault="00A52CFC" w:rsidP="003B6981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A52CFC">
              <w:rPr>
                <w:rFonts w:ascii="Arial" w:hAnsi="Arial" w:cs="Arial"/>
                <w:b/>
                <w:sz w:val="28"/>
                <w:szCs w:val="28"/>
              </w:rPr>
              <w:t>What is Hydrocephalus?</w:t>
            </w:r>
          </w:p>
          <w:p w:rsidR="00A52CFC" w:rsidRDefault="000670D5" w:rsidP="003B6981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6192" behindDoc="0" locked="0" layoutInCell="1" allowOverlap="1" wp14:anchorId="44A96C7B" wp14:editId="32B37611">
                  <wp:simplePos x="0" y="0"/>
                  <wp:positionH relativeFrom="column">
                    <wp:posOffset>3393440</wp:posOffset>
                  </wp:positionH>
                  <wp:positionV relativeFrom="paragraph">
                    <wp:posOffset>90805</wp:posOffset>
                  </wp:positionV>
                  <wp:extent cx="2962275" cy="189547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2CFC">
              <w:rPr>
                <w:rFonts w:ascii="Arial" w:hAnsi="Arial" w:cs="Arial"/>
                <w:sz w:val="22"/>
                <w:szCs w:val="22"/>
              </w:rPr>
              <w:t>Inside everyone’s brain and spinal cord there is a clear fluid called ‘cerebrospinal fluid</w:t>
            </w:r>
            <w:r w:rsidR="003B6981">
              <w:rPr>
                <w:rFonts w:ascii="Arial" w:hAnsi="Arial" w:cs="Arial"/>
                <w:sz w:val="22"/>
                <w:szCs w:val="22"/>
              </w:rPr>
              <w:t>’ also known as CSF.</w:t>
            </w:r>
          </w:p>
          <w:p w:rsidR="003B6981" w:rsidRDefault="003B6981" w:rsidP="003B6981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CSF is made inside spaces in the brain called ventricles, and acts as a cushion to protect the brain and spinal cord.</w:t>
            </w:r>
          </w:p>
          <w:p w:rsidR="003B6981" w:rsidRDefault="003B6981" w:rsidP="003B6981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Hydrocephalus is when there is too much CSF in the ventricles in the brain, and the ventricles get bigger.  This</w:t>
            </w:r>
            <w:r w:rsidR="00BE775D">
              <w:rPr>
                <w:rFonts w:ascii="Arial" w:hAnsi="Arial" w:cs="Arial"/>
                <w:sz w:val="22"/>
                <w:szCs w:val="22"/>
              </w:rPr>
              <w:t xml:space="preserve"> may lead</w:t>
            </w:r>
            <w:r>
              <w:rPr>
                <w:rFonts w:ascii="Arial" w:hAnsi="Arial" w:cs="Arial"/>
                <w:sz w:val="22"/>
                <w:szCs w:val="22"/>
              </w:rPr>
              <w:t xml:space="preserve"> to an increase in pressure causing one or more of the signs listed on the next page.  If left untreated this can result in damage to the brain. </w:t>
            </w:r>
          </w:p>
          <w:p w:rsidR="003B6981" w:rsidRPr="00A52CFC" w:rsidRDefault="003B6981" w:rsidP="003B6981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Hydrocephalus is usually treated by a shunt insertion operation.</w:t>
            </w:r>
          </w:p>
        </w:tc>
        <w:tc>
          <w:tcPr>
            <w:tcW w:w="4536" w:type="dxa"/>
            <w:vAlign w:val="center"/>
          </w:tcPr>
          <w:p w:rsidR="00A52CFC" w:rsidRPr="00D23794" w:rsidRDefault="00A52CFC" w:rsidP="007D5D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  <w:tr w:rsidR="003B6981" w:rsidRPr="006D2505" w:rsidTr="009828AC">
        <w:trPr>
          <w:cantSplit/>
          <w:trHeight w:val="617"/>
        </w:trPr>
        <w:tc>
          <w:tcPr>
            <w:tcW w:w="10206" w:type="dxa"/>
            <w:gridSpan w:val="3"/>
          </w:tcPr>
          <w:p w:rsidR="009828AC" w:rsidRDefault="009828AC" w:rsidP="001D111A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828AC" w:rsidRDefault="009828AC" w:rsidP="001D111A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6981" w:rsidRDefault="003B6981" w:rsidP="001D111A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What is a shunt (or ventriculo peritoneal (VP) shunt)?</w:t>
            </w:r>
          </w:p>
          <w:p w:rsidR="003B6981" w:rsidRPr="00D23794" w:rsidRDefault="000670D5" w:rsidP="001D111A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7216" behindDoc="0" locked="0" layoutInCell="1" allowOverlap="1" wp14:anchorId="18373A22" wp14:editId="19BDE267">
                  <wp:simplePos x="0" y="0"/>
                  <wp:positionH relativeFrom="column">
                    <wp:posOffset>3486785</wp:posOffset>
                  </wp:positionH>
                  <wp:positionV relativeFrom="paragraph">
                    <wp:posOffset>107315</wp:posOffset>
                  </wp:positionV>
                  <wp:extent cx="2868930" cy="2306955"/>
                  <wp:effectExtent l="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930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6981" w:rsidRPr="006D2505" w:rsidTr="009828AC">
        <w:trPr>
          <w:cantSplit/>
          <w:trHeight w:val="3658"/>
        </w:trPr>
        <w:tc>
          <w:tcPr>
            <w:tcW w:w="5529" w:type="dxa"/>
          </w:tcPr>
          <w:p w:rsidR="00C849C7" w:rsidRDefault="003B6981" w:rsidP="00C849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A shunt is used to treat hydrocephalus. </w:t>
            </w:r>
          </w:p>
          <w:p w:rsidR="00C849C7" w:rsidRDefault="003B6981" w:rsidP="00C849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It is a very fine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tube that is inserted from inside one of the ventricles in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the brain to a place to dump the CSF, usually the</w:t>
            </w:r>
            <w:r w:rsid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peritoneum (tummy). </w:t>
            </w:r>
          </w:p>
          <w:p w:rsidR="00C849C7" w:rsidRDefault="003B6981" w:rsidP="00C849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It is completely internal and the</w:t>
            </w:r>
            <w:r w:rsid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child will only have a</w:t>
            </w:r>
            <w:r w:rsid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small wound behind one ear and another on the tummy.</w:t>
            </w:r>
          </w:p>
          <w:p w:rsidR="003B6981" w:rsidRPr="00C849C7" w:rsidRDefault="003B6981" w:rsidP="00C849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This new pathway allows CSF</w:t>
            </w:r>
            <w:r w:rsid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to drain from the v</w:t>
            </w:r>
            <w:r w:rsid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entricles, lowering the pressure </w:t>
            </w:r>
            <w:r w:rsidRPr="003B6981">
              <w:rPr>
                <w:rFonts w:ascii="Arial" w:hAnsi="Arial" w:cs="Arial"/>
                <w:sz w:val="22"/>
                <w:szCs w:val="22"/>
                <w:lang w:val="en-AU" w:eastAsia="en-AU"/>
              </w:rPr>
              <w:t>inside the head.</w:t>
            </w:r>
          </w:p>
          <w:p w:rsidR="00C849C7" w:rsidRDefault="00C849C7" w:rsidP="00C849C7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6981" w:rsidRDefault="003B6981" w:rsidP="00C849C7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3B6981" w:rsidRPr="00D23794" w:rsidRDefault="003B6981" w:rsidP="001D111A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  <w:tr w:rsidR="00C849C7" w:rsidRPr="006D2505" w:rsidTr="009828AC">
        <w:trPr>
          <w:cantSplit/>
          <w:trHeight w:val="2515"/>
        </w:trPr>
        <w:tc>
          <w:tcPr>
            <w:tcW w:w="10206" w:type="dxa"/>
            <w:gridSpan w:val="3"/>
          </w:tcPr>
          <w:p w:rsidR="009828AC" w:rsidRDefault="009828AC" w:rsidP="00C849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What do I need to know?</w:t>
            </w:r>
          </w:p>
          <w:p w:rsidR="00C849C7" w:rsidRPr="00C849C7" w:rsidRDefault="00C849C7" w:rsidP="00C849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>While the shunt is working the hydrocephalus is resolved and the child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or young person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should be treated normally. This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means that 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>they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can participate in all curriculum activities including camps and excursions. There is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>no need to place any restrictions on participation in activities such as swimming and aquatics. If the child is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>involved in an incident provide standard first aid and inform emergency contacts as per first aid training. This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>application of standard first aid also applies to head injuries.</w:t>
            </w:r>
          </w:p>
          <w:p w:rsidR="00C849C7" w:rsidRDefault="00C849C7" w:rsidP="00C849C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>Very infrequently the shunt may not work properly and the child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or young person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may show one or more of the signs in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the tables </w:t>
            </w:r>
            <w:r w:rsidR="005451B3">
              <w:rPr>
                <w:rFonts w:ascii="Arial" w:hAnsi="Arial" w:cs="Arial"/>
                <w:sz w:val="22"/>
                <w:szCs w:val="22"/>
                <w:lang w:val="en-AU" w:eastAsia="en-AU"/>
              </w:rPr>
              <w:t>below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>. If the child is exhibiting one or more of these signs inform the emergency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contacts. An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ambulance should be called if staff are concerned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>for the child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>’s</w:t>
            </w:r>
            <w:r w:rsidRPr="00C849C7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wellbeing.</w:t>
            </w:r>
          </w:p>
          <w:p w:rsidR="00C849C7" w:rsidRDefault="00C849C7" w:rsidP="001D111A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C849C7" w:rsidRPr="00C849C7" w:rsidRDefault="00C849C7" w:rsidP="009828AC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9C7">
              <w:rPr>
                <w:rFonts w:ascii="Arial" w:hAnsi="Arial" w:cs="Arial"/>
                <w:b/>
                <w:sz w:val="22"/>
                <w:szCs w:val="22"/>
              </w:rPr>
              <w:t xml:space="preserve">Refer to the tables </w:t>
            </w:r>
            <w:r w:rsidR="009828AC">
              <w:rPr>
                <w:rFonts w:ascii="Arial" w:hAnsi="Arial" w:cs="Arial"/>
                <w:b/>
                <w:sz w:val="22"/>
                <w:szCs w:val="22"/>
              </w:rPr>
              <w:t>below</w:t>
            </w:r>
            <w:r w:rsidRPr="00C849C7">
              <w:rPr>
                <w:rFonts w:ascii="Arial" w:hAnsi="Arial" w:cs="Arial"/>
                <w:b/>
                <w:sz w:val="22"/>
                <w:szCs w:val="22"/>
              </w:rPr>
              <w:t xml:space="preserve"> for signs that indicate the shunt may not be working</w:t>
            </w:r>
          </w:p>
        </w:tc>
      </w:tr>
    </w:tbl>
    <w:p w:rsidR="003B6981" w:rsidRDefault="003B6981">
      <w:pPr>
        <w:rPr>
          <w:rFonts w:ascii="Arial" w:hAnsi="Arial" w:cs="Arial"/>
          <w:sz w:val="10"/>
          <w:szCs w:val="10"/>
        </w:rPr>
      </w:pPr>
    </w:p>
    <w:p w:rsidR="003B6981" w:rsidRDefault="003B6981">
      <w:pPr>
        <w:rPr>
          <w:rFonts w:ascii="Arial" w:hAnsi="Arial" w:cs="Arial"/>
          <w:sz w:val="10"/>
          <w:szCs w:val="10"/>
        </w:rPr>
      </w:pPr>
    </w:p>
    <w:p w:rsidR="00C849C7" w:rsidRDefault="00C849C7">
      <w:pPr>
        <w:rPr>
          <w:rFonts w:ascii="Arial" w:hAnsi="Arial" w:cs="Arial"/>
          <w:sz w:val="10"/>
          <w:szCs w:val="10"/>
        </w:rPr>
      </w:pPr>
    </w:p>
    <w:p w:rsidR="00C849C7" w:rsidRDefault="00C849C7" w:rsidP="00C849C7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Signs the shunt may not be working</w:t>
      </w:r>
      <w:r>
        <w:rPr>
          <w:rFonts w:ascii="Arial" w:hAnsi="Arial" w:cs="Arial"/>
          <w:sz w:val="22"/>
          <w:szCs w:val="22"/>
        </w:rPr>
        <w:t xml:space="preserve"> (may have one or more)</w:t>
      </w:r>
    </w:p>
    <w:p w:rsidR="00EE35B0" w:rsidRDefault="00EE35B0" w:rsidP="00C849C7">
      <w:pPr>
        <w:ind w:left="-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236"/>
        <w:gridCol w:w="3190"/>
        <w:gridCol w:w="439"/>
        <w:gridCol w:w="2977"/>
      </w:tblGrid>
      <w:tr w:rsidR="00C849C7" w:rsidRPr="001D111A" w:rsidTr="001D111A">
        <w:trPr>
          <w:trHeight w:val="359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849C7" w:rsidRPr="001D111A" w:rsidRDefault="00C849C7" w:rsidP="001D111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D111A">
              <w:rPr>
                <w:rFonts w:ascii="Arial" w:hAnsi="Arial" w:cs="Arial"/>
                <w:b/>
                <w:color w:val="FFFFFF"/>
                <w:sz w:val="22"/>
                <w:szCs w:val="22"/>
              </w:rPr>
              <w:t>Signs for infant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9C7" w:rsidRPr="001D111A" w:rsidRDefault="00C849C7" w:rsidP="001D1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849C7" w:rsidRPr="001D111A" w:rsidRDefault="00C849C7" w:rsidP="001D111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D111A">
              <w:rPr>
                <w:rFonts w:ascii="Arial" w:hAnsi="Arial" w:cs="Arial"/>
                <w:b/>
                <w:color w:val="FFFFFF"/>
                <w:sz w:val="22"/>
                <w:szCs w:val="22"/>
              </w:rPr>
              <w:t>Signs for child</w:t>
            </w:r>
          </w:p>
        </w:tc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9C7" w:rsidRPr="001D111A" w:rsidRDefault="00C849C7" w:rsidP="001D1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849C7" w:rsidRPr="001D111A" w:rsidRDefault="00EE35B0" w:rsidP="001D111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D111A">
              <w:rPr>
                <w:rFonts w:ascii="Arial" w:hAnsi="Arial" w:cs="Arial"/>
                <w:b/>
                <w:color w:val="FFFFFF"/>
                <w:sz w:val="22"/>
                <w:szCs w:val="22"/>
              </w:rPr>
              <w:t>FIRST AID</w:t>
            </w:r>
            <w:r w:rsidR="0054301E" w:rsidRPr="001D111A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</w:p>
        </w:tc>
      </w:tr>
      <w:tr w:rsidR="00C849C7" w:rsidRPr="001D111A" w:rsidTr="001D111A"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9C7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Irritable, unsettled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More sleepy than usual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High pitched cry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Vomiting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Sunsetting eyes (eyes unable to look up)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Poor feeding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Head getting bigger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Fontanelle (soft spot on top of head) full and firm when sitting up and quiet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Seizures</w:t>
            </w:r>
            <w:r w:rsidR="00BE775D">
              <w:rPr>
                <w:rFonts w:ascii="Arial" w:hAnsi="Arial" w:cs="Arial"/>
              </w:rPr>
              <w:t xml:space="preserve"> (fits)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Fever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Swelling or redness along shunt tract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9C7" w:rsidRPr="001D111A" w:rsidRDefault="00C849C7" w:rsidP="00C849C7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9C7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Irritable, confused, disorientated or just not usual self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More sleepy than usual</w:t>
            </w:r>
          </w:p>
          <w:p w:rsidR="00EE35B0" w:rsidRPr="001D111A" w:rsidRDefault="000670D5" w:rsidP="001D111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45085</wp:posOffset>
                      </wp:positionV>
                      <wp:extent cx="419100" cy="45720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57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A93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9" o:spid="_x0000_s1026" type="#_x0000_t13" style="position:absolute;margin-left:142.1pt;margin-top:3.55pt;width:3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" fillcolor="black"/>
                  </w:pict>
                </mc:Fallback>
              </mc:AlternateContent>
            </w:r>
            <w:r w:rsidR="00EE35B0" w:rsidRPr="001D111A">
              <w:rPr>
                <w:rFonts w:ascii="Arial" w:hAnsi="Arial" w:cs="Arial"/>
              </w:rPr>
              <w:t>Headache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Vomiting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Double or blurred vision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Photophobia (eyes sensitive to light)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Unsteady on feet</w:t>
            </w:r>
          </w:p>
          <w:p w:rsidR="00EE35B0" w:rsidRPr="001D111A" w:rsidRDefault="000670D5" w:rsidP="001D111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92710</wp:posOffset>
                      </wp:positionV>
                      <wp:extent cx="419100" cy="457200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57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3C82" id="AutoShape 10" o:spid="_x0000_s1026" type="#_x0000_t13" style="position:absolute;margin-left:142.1pt;margin-top:7.3pt;width:3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" fillcolor="black"/>
                  </w:pict>
                </mc:Fallback>
              </mc:AlternateContent>
            </w:r>
            <w:r w:rsidR="00EE35B0" w:rsidRPr="001D111A">
              <w:rPr>
                <w:rFonts w:ascii="Arial" w:hAnsi="Arial" w:cs="Arial"/>
              </w:rPr>
              <w:t>Difficulty doing routine tasks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Seizures</w:t>
            </w:r>
            <w:r w:rsidR="00BE775D">
              <w:rPr>
                <w:rFonts w:ascii="Arial" w:hAnsi="Arial" w:cs="Arial"/>
              </w:rPr>
              <w:t xml:space="preserve"> (fits)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Fever</w:t>
            </w:r>
          </w:p>
          <w:p w:rsidR="00EE35B0" w:rsidRPr="001D111A" w:rsidRDefault="00EE35B0" w:rsidP="001D111A">
            <w:pPr>
              <w:spacing w:before="120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Swelling or redness along shunt tract</w:t>
            </w:r>
          </w:p>
        </w:tc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9C7" w:rsidRPr="001D111A" w:rsidRDefault="00C849C7" w:rsidP="00C849C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9C7" w:rsidRPr="001D111A" w:rsidRDefault="00EE35B0" w:rsidP="001D111A">
            <w:pPr>
              <w:spacing w:before="120"/>
              <w:jc w:val="center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If there are any signs that the shunt may not be working contact the parent or legal guardian, or emergency contacts.</w:t>
            </w:r>
          </w:p>
          <w:p w:rsidR="00EE35B0" w:rsidRPr="001D111A" w:rsidRDefault="00EE35B0" w:rsidP="001D111A">
            <w:pPr>
              <w:spacing w:before="120"/>
              <w:jc w:val="center"/>
              <w:rPr>
                <w:rFonts w:ascii="Arial" w:hAnsi="Arial" w:cs="Arial"/>
              </w:rPr>
            </w:pPr>
            <w:r w:rsidRPr="001D111A">
              <w:rPr>
                <w:rFonts w:ascii="Arial" w:hAnsi="Arial" w:cs="Arial"/>
              </w:rPr>
              <w:t>If the child has a seizure, follow Seizure First Aid (attached).</w:t>
            </w:r>
          </w:p>
          <w:p w:rsidR="00EE35B0" w:rsidRPr="001D111A" w:rsidRDefault="00EE35B0" w:rsidP="001D111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11A">
              <w:rPr>
                <w:rFonts w:ascii="Arial" w:hAnsi="Arial" w:cs="Arial"/>
                <w:b/>
                <w:sz w:val="22"/>
                <w:szCs w:val="22"/>
              </w:rPr>
              <w:t>In an emergency call</w:t>
            </w:r>
          </w:p>
          <w:p w:rsidR="00EE35B0" w:rsidRPr="001D111A" w:rsidRDefault="00EE35B0" w:rsidP="001D11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1A">
              <w:rPr>
                <w:rFonts w:ascii="Arial" w:hAnsi="Arial" w:cs="Arial"/>
                <w:b/>
                <w:sz w:val="28"/>
                <w:szCs w:val="28"/>
              </w:rPr>
              <w:t>000 (Ambulance)</w:t>
            </w:r>
          </w:p>
          <w:p w:rsidR="00EE35B0" w:rsidRPr="001D111A" w:rsidRDefault="000670D5" w:rsidP="001D111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704850" cy="704850"/>
                  <wp:effectExtent l="0" t="0" r="0" b="0"/>
                  <wp:docPr id="2" name="Picture 1" descr="Ambul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ul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01E" w:rsidRPr="001D111A" w:rsidRDefault="0054301E" w:rsidP="001D111A">
            <w:pPr>
              <w:shd w:val="clear" w:color="auto" w:fill="FFFFFF"/>
              <w:spacing w:before="240"/>
              <w:ind w:right="34" w:firstLine="34"/>
              <w:rPr>
                <w:rFonts w:ascii="Arial" w:hAnsi="Arial" w:cs="Arial"/>
                <w:i/>
                <w:sz w:val="16"/>
                <w:szCs w:val="16"/>
              </w:rPr>
            </w:pPr>
            <w:r w:rsidRPr="001D111A">
              <w:rPr>
                <w:rFonts w:ascii="Arial" w:hAnsi="Arial" w:cs="Arial"/>
                <w:i/>
                <w:sz w:val="16"/>
                <w:szCs w:val="16"/>
              </w:rPr>
              <w:t xml:space="preserve">*An </w:t>
            </w:r>
            <w:hyperlink r:id="rId14" w:history="1">
              <w:r w:rsidRPr="00BE775D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individual first aid plan</w:t>
              </w:r>
            </w:hyperlink>
            <w:r w:rsidRPr="001D111A">
              <w:rPr>
                <w:rFonts w:ascii="Arial" w:hAnsi="Arial" w:cs="Arial"/>
                <w:i/>
                <w:sz w:val="16"/>
                <w:szCs w:val="16"/>
              </w:rPr>
              <w:t xml:space="preserve"> must be completed if the first aid response is not the standard first aid response for that condition. </w:t>
            </w:r>
          </w:p>
        </w:tc>
      </w:tr>
    </w:tbl>
    <w:p w:rsidR="0054301E" w:rsidRDefault="0054301E" w:rsidP="001D111A">
      <w:pPr>
        <w:shd w:val="clear" w:color="auto" w:fill="FFFFFF"/>
        <w:ind w:left="-426" w:right="566"/>
        <w:rPr>
          <w:rFonts w:ascii="Arial" w:hAnsi="Arial" w:cs="Arial"/>
          <w:sz w:val="22"/>
          <w:szCs w:val="22"/>
        </w:rPr>
      </w:pPr>
    </w:p>
    <w:p w:rsidR="009828AC" w:rsidRPr="0054301E" w:rsidRDefault="009828AC" w:rsidP="001D111A">
      <w:pPr>
        <w:shd w:val="clear" w:color="auto" w:fill="FFFFFF"/>
        <w:ind w:left="-426" w:right="56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54301E" w:rsidRPr="001D111A" w:rsidTr="005451B3">
        <w:trPr>
          <w:trHeight w:val="4250"/>
        </w:trPr>
        <w:tc>
          <w:tcPr>
            <w:tcW w:w="10032" w:type="dxa"/>
            <w:shd w:val="clear" w:color="auto" w:fill="auto"/>
          </w:tcPr>
          <w:p w:rsidR="0054301E" w:rsidRPr="009828AC" w:rsidRDefault="008A50D9" w:rsidP="00C849C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Additional information</w:t>
            </w:r>
          </w:p>
          <w:p w:rsidR="00BE775D" w:rsidRDefault="00BE775D" w:rsidP="00C849C7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hyperlink r:id="rId15" w:history="1">
              <w:r w:rsidRPr="00BE775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Individual first aid plan</w:t>
              </w:r>
            </w:hyperlink>
            <w:r w:rsidRPr="00BE775D">
              <w:rPr>
                <w:rFonts w:ascii="Arial" w:hAnsi="Arial" w:cs="Arial"/>
                <w:bCs/>
                <w:sz w:val="22"/>
                <w:szCs w:val="22"/>
              </w:rPr>
              <w:t xml:space="preserve"> attached</w:t>
            </w:r>
          </w:p>
          <w:p w:rsidR="00BE775D" w:rsidRPr="00BE775D" w:rsidRDefault="00BE775D" w:rsidP="00C849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01E" w:rsidRPr="000670D5" w:rsidRDefault="0054301E" w:rsidP="00C849C7">
            <w:pPr>
              <w:rPr>
                <w:rFonts w:ascii="Arial" w:hAnsi="Arial" w:cs="Arial"/>
              </w:rPr>
            </w:pPr>
            <w:r w:rsidRPr="000670D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color w:val="365F91"/>
              </w:rPr>
            </w:pPr>
          </w:p>
          <w:p w:rsidR="0054301E" w:rsidRPr="001D111A" w:rsidRDefault="0054301E" w:rsidP="00C849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54D1" w:rsidRDefault="004654D1">
      <w:pPr>
        <w:rPr>
          <w:rFonts w:ascii="Arial" w:hAnsi="Arial" w:cs="Arial"/>
          <w:sz w:val="10"/>
          <w:szCs w:val="10"/>
        </w:rPr>
      </w:pPr>
    </w:p>
    <w:p w:rsidR="009828AC" w:rsidRDefault="009828AC">
      <w:pPr>
        <w:rPr>
          <w:rFonts w:ascii="Arial" w:hAnsi="Arial" w:cs="Arial"/>
          <w:sz w:val="10"/>
          <w:szCs w:val="10"/>
        </w:rPr>
      </w:pPr>
    </w:p>
    <w:p w:rsidR="009828AC" w:rsidRDefault="009828AC">
      <w:pPr>
        <w:rPr>
          <w:rFonts w:ascii="Arial" w:hAnsi="Arial" w:cs="Arial"/>
          <w:sz w:val="10"/>
          <w:szCs w:val="10"/>
        </w:rPr>
      </w:pPr>
    </w:p>
    <w:p w:rsidR="009828AC" w:rsidRDefault="009828AC">
      <w:pPr>
        <w:rPr>
          <w:rFonts w:ascii="Arial" w:hAnsi="Arial" w:cs="Arial"/>
          <w:sz w:val="10"/>
          <w:szCs w:val="10"/>
        </w:rPr>
      </w:pPr>
    </w:p>
    <w:p w:rsidR="009828AC" w:rsidRDefault="009828AC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142"/>
        <w:gridCol w:w="609"/>
        <w:gridCol w:w="809"/>
        <w:gridCol w:w="3402"/>
      </w:tblGrid>
      <w:tr w:rsidR="00B05AAA" w:rsidRPr="000670D5" w:rsidTr="0038219F">
        <w:trPr>
          <w:trHeight w:val="455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:rsidR="00B05AAA" w:rsidRPr="000670D5" w:rsidRDefault="00B05AAA" w:rsidP="0038219F">
            <w:pPr>
              <w:rPr>
                <w:rFonts w:ascii="Arial" w:hAnsi="Arial" w:cs="Arial"/>
                <w:b/>
              </w:rPr>
            </w:pPr>
            <w:r w:rsidRPr="000670D5">
              <w:rPr>
                <w:rFonts w:ascii="Arial" w:hAnsi="Arial" w:cs="Arial"/>
                <w:b/>
              </w:rPr>
              <w:t>AUTHORISATION AND AGREEMENT</w:t>
            </w:r>
          </w:p>
          <w:p w:rsidR="00B05AAA" w:rsidRPr="000670D5" w:rsidRDefault="00B05AAA" w:rsidP="0038219F">
            <w:pPr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i/>
                <w:sz w:val="14"/>
                <w:szCs w:val="16"/>
              </w:rPr>
              <w:t>(To be signed after form has been completed)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B05AAA" w:rsidRPr="000670D5" w:rsidRDefault="00B05AAA" w:rsidP="00C456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 xml:space="preserve">The following settings have been considered in the development of the </w:t>
            </w:r>
            <w:r w:rsidR="00C456E7" w:rsidRPr="000670D5">
              <w:rPr>
                <w:rFonts w:ascii="Arial" w:hAnsi="Arial" w:cs="Arial"/>
                <w:sz w:val="16"/>
                <w:szCs w:val="16"/>
              </w:rPr>
              <w:t>health care</w:t>
            </w:r>
            <w:r w:rsidRPr="000670D5">
              <w:rPr>
                <w:rFonts w:ascii="Arial" w:hAnsi="Arial" w:cs="Arial"/>
                <w:sz w:val="16"/>
                <w:szCs w:val="16"/>
              </w:rPr>
              <w:t xml:space="preserve"> plan and is appropriate for use in the following:</w:t>
            </w:r>
          </w:p>
        </w:tc>
      </w:tr>
      <w:tr w:rsidR="00B05AAA" w:rsidRPr="000670D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</w:tc>
        <w:tc>
          <w:tcPr>
            <w:tcW w:w="609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B05AAA" w:rsidRPr="000670D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Camps, excursions, special event, transport (incl. aquatics)</w:t>
            </w:r>
          </w:p>
        </w:tc>
        <w:tc>
          <w:tcPr>
            <w:tcW w:w="609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B05AAA" w:rsidRPr="000670D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B05AAA" w:rsidRPr="000670D5" w:rsidTr="0038219F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 xml:space="preserve">Transport </w:t>
            </w:r>
          </w:p>
        </w:tc>
        <w:tc>
          <w:tcPr>
            <w:tcW w:w="609" w:type="dxa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0D5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55564C">
              <w:rPr>
                <w:rFonts w:cs="Arial"/>
                <w:bCs/>
                <w:sz w:val="28"/>
                <w:szCs w:val="28"/>
              </w:rPr>
            </w:r>
            <w:r w:rsidR="0055564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0670D5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0670D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</w:tr>
      <w:tr w:rsidR="00FA3B9D" w:rsidRPr="000670D5" w:rsidTr="00406552">
        <w:trPr>
          <w:cantSplit/>
          <w:trHeight w:val="362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FA3B9D" w:rsidRPr="000670D5" w:rsidRDefault="00FA3B9D" w:rsidP="0040655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ascii="Arial" w:hAnsi="Arial" w:cs="Arial"/>
                <w:i/>
                <w:sz w:val="16"/>
                <w:szCs w:val="16"/>
              </w:rPr>
              <w:t>Treating health professional</w:t>
            </w:r>
          </w:p>
        </w:tc>
      </w:tr>
      <w:tr w:rsidR="000670D5" w:rsidRPr="000670D5" w:rsidTr="000670D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98"/>
        </w:trPr>
        <w:tc>
          <w:tcPr>
            <w:tcW w:w="5103" w:type="dxa"/>
            <w:gridSpan w:val="3"/>
            <w:vMerge w:val="restart"/>
          </w:tcPr>
          <w:p w:rsidR="00FA3B9D" w:rsidRPr="000670D5" w:rsidRDefault="00FA3B9D" w:rsidP="00406552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70D5">
              <w:rPr>
                <w:rFonts w:ascii="Arial" w:hAnsi="Arial" w:cs="Arial"/>
                <w:i/>
                <w:sz w:val="14"/>
                <w:szCs w:val="16"/>
              </w:rPr>
              <w:t>(print name &amp; practice/hospital or stamp)</w:t>
            </w:r>
          </w:p>
          <w:p w:rsidR="00FA3B9D" w:rsidRPr="000670D5" w:rsidRDefault="00FA3B9D" w:rsidP="00406552">
            <w:pPr>
              <w:rPr>
                <w:rFonts w:ascii="Arial" w:hAnsi="Arial" w:cs="Arial"/>
              </w:rPr>
            </w:pP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  <w:p w:rsidR="00FA3B9D" w:rsidRPr="000670D5" w:rsidRDefault="00FA3B9D" w:rsidP="00406552">
            <w:pPr>
              <w:rPr>
                <w:rFonts w:ascii="Arial" w:hAnsi="Arial" w:cs="Arial"/>
                <w:sz w:val="14"/>
                <w:szCs w:val="16"/>
              </w:rPr>
            </w:pPr>
          </w:p>
          <w:p w:rsidR="00FA3B9D" w:rsidRPr="000670D5" w:rsidRDefault="00FA3B9D" w:rsidP="00406552">
            <w:pPr>
              <w:rPr>
                <w:rFonts w:ascii="Arial" w:hAnsi="Arial" w:cs="Arial"/>
              </w:rPr>
            </w:pP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  <w:p w:rsidR="00FA3B9D" w:rsidRPr="000670D5" w:rsidRDefault="00FA3B9D" w:rsidP="004065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gridSpan w:val="3"/>
          </w:tcPr>
          <w:p w:rsidR="00FA3B9D" w:rsidRPr="000670D5" w:rsidRDefault="00FA3B9D" w:rsidP="0040655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 xml:space="preserve">Professional role  </w:t>
            </w:r>
          </w:p>
        </w:tc>
        <w:tc>
          <w:tcPr>
            <w:tcW w:w="3402" w:type="dxa"/>
          </w:tcPr>
          <w:p w:rsidR="00FA3B9D" w:rsidRPr="000670D5" w:rsidRDefault="00FA3B9D" w:rsidP="0040655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</w:tr>
      <w:tr w:rsidR="00FA3B9D" w:rsidRPr="000670D5" w:rsidTr="0040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5103" w:type="dxa"/>
            <w:gridSpan w:val="3"/>
            <w:vMerge/>
          </w:tcPr>
          <w:p w:rsidR="00FA3B9D" w:rsidRPr="000670D5" w:rsidRDefault="00FA3B9D" w:rsidP="00406552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1560" w:type="dxa"/>
            <w:gridSpan w:val="3"/>
          </w:tcPr>
          <w:p w:rsidR="00FA3B9D" w:rsidRPr="000670D5" w:rsidRDefault="00FA3B9D" w:rsidP="00406552">
            <w:pPr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 xml:space="preserve">Email or signature </w:t>
            </w:r>
          </w:p>
        </w:tc>
        <w:tc>
          <w:tcPr>
            <w:tcW w:w="3402" w:type="dxa"/>
          </w:tcPr>
          <w:p w:rsidR="00FA3B9D" w:rsidRPr="000670D5" w:rsidRDefault="00FA3B9D" w:rsidP="00406552">
            <w:pPr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</w:tr>
      <w:tr w:rsidR="00FA3B9D" w:rsidRPr="000670D5" w:rsidTr="0040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2"/>
        </w:trPr>
        <w:tc>
          <w:tcPr>
            <w:tcW w:w="5103" w:type="dxa"/>
            <w:gridSpan w:val="3"/>
          </w:tcPr>
          <w:p w:rsidR="00FA3B9D" w:rsidRPr="000670D5" w:rsidRDefault="00FA3B9D" w:rsidP="0040655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 xml:space="preserve">Telephone  </w:t>
            </w: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</w:tcPr>
          <w:p w:rsidR="00FA3B9D" w:rsidRPr="000670D5" w:rsidRDefault="00FA3B9D" w:rsidP="0040655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Date</w:t>
            </w:r>
            <w:r w:rsidRPr="000670D5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</w:p>
        </w:tc>
        <w:tc>
          <w:tcPr>
            <w:tcW w:w="3402" w:type="dxa"/>
          </w:tcPr>
          <w:p w:rsidR="00FA3B9D" w:rsidRPr="000670D5" w:rsidRDefault="00FA3B9D" w:rsidP="0040655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</w:tr>
      <w:tr w:rsidR="00B05AAA" w:rsidRPr="000670D5" w:rsidTr="0038219F">
        <w:trPr>
          <w:cantSplit/>
          <w:trHeight w:val="381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670D5">
              <w:rPr>
                <w:rFonts w:ascii="Arial" w:hAnsi="Arial" w:cs="Arial"/>
                <w:i/>
                <w:sz w:val="16"/>
                <w:szCs w:val="16"/>
              </w:rPr>
              <w:t xml:space="preserve">Parent or legal guardian; or adult student </w:t>
            </w:r>
          </w:p>
        </w:tc>
      </w:tr>
      <w:tr w:rsidR="00B05AAA" w:rsidRPr="000670D5" w:rsidTr="0038219F">
        <w:trPr>
          <w:cantSplit/>
        </w:trPr>
        <w:tc>
          <w:tcPr>
            <w:tcW w:w="10065" w:type="dxa"/>
            <w:gridSpan w:val="7"/>
          </w:tcPr>
          <w:p w:rsidR="00B05AAA" w:rsidRPr="000670D5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0670D5">
              <w:rPr>
                <w:rFonts w:ascii="Arial" w:hAnsi="Arial" w:cs="Arial"/>
                <w:b/>
                <w:sz w:val="16"/>
                <w:szCs w:val="16"/>
              </w:rPr>
              <w:t xml:space="preserve">I understand and agree with the </w:t>
            </w:r>
            <w:r w:rsidR="00C456E7" w:rsidRPr="000670D5">
              <w:rPr>
                <w:rFonts w:ascii="Arial" w:hAnsi="Arial" w:cs="Arial"/>
                <w:b/>
                <w:sz w:val="16"/>
                <w:szCs w:val="16"/>
              </w:rPr>
              <w:t>care plan</w:t>
            </w:r>
            <w:r w:rsidRPr="000670D5">
              <w:rPr>
                <w:rFonts w:ascii="Arial" w:hAnsi="Arial" w:cs="Arial"/>
                <w:b/>
                <w:sz w:val="16"/>
                <w:szCs w:val="16"/>
              </w:rPr>
              <w:t xml:space="preserve"> as indicated </w:t>
            </w:r>
            <w:r w:rsidR="00616847" w:rsidRPr="000670D5">
              <w:rPr>
                <w:rFonts w:ascii="Arial" w:hAnsi="Arial" w:cs="Arial"/>
                <w:b/>
                <w:sz w:val="16"/>
                <w:szCs w:val="16"/>
              </w:rPr>
              <w:t>above</w:t>
            </w:r>
          </w:p>
          <w:p w:rsidR="00B05AAA" w:rsidRPr="000670D5" w:rsidRDefault="00B05AAA" w:rsidP="0038219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0670D5">
              <w:rPr>
                <w:rFonts w:ascii="Arial" w:hAnsi="Arial" w:cs="Arial"/>
                <w:b/>
                <w:sz w:val="16"/>
                <w:szCs w:val="16"/>
              </w:rPr>
              <w:t>I approve the release and sharing of this information to supervising staff and emergency medical staff (if required).</w:t>
            </w:r>
          </w:p>
          <w:p w:rsidR="00B05AAA" w:rsidRPr="000670D5" w:rsidRDefault="00B05AAA" w:rsidP="0054301E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b/>
                <w:sz w:val="16"/>
                <w:szCs w:val="16"/>
              </w:rPr>
              <w:t xml:space="preserve">I understand staff may seek additional information and/or advice regarding the medical information contained in the </w:t>
            </w:r>
            <w:r w:rsidR="0054301E" w:rsidRPr="000670D5">
              <w:rPr>
                <w:rFonts w:ascii="Arial" w:hAnsi="Arial" w:cs="Arial"/>
                <w:b/>
                <w:sz w:val="16"/>
                <w:szCs w:val="16"/>
              </w:rPr>
              <w:t xml:space="preserve">care plan </w:t>
            </w:r>
            <w:r w:rsidRPr="000670D5">
              <w:rPr>
                <w:rFonts w:ascii="Arial" w:hAnsi="Arial" w:cs="Arial"/>
                <w:b/>
                <w:sz w:val="16"/>
                <w:szCs w:val="16"/>
              </w:rPr>
              <w:t xml:space="preserve">from the Access Assistant Program (AAP) to inform duty of care. </w:t>
            </w:r>
          </w:p>
        </w:tc>
      </w:tr>
      <w:tr w:rsidR="00B05AAA" w:rsidRPr="000670D5" w:rsidTr="00D23794">
        <w:trPr>
          <w:cantSplit/>
          <w:trHeight w:val="356"/>
        </w:trPr>
        <w:tc>
          <w:tcPr>
            <w:tcW w:w="5854" w:type="dxa"/>
            <w:gridSpan w:val="5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(name)</w:t>
            </w:r>
            <w:r w:rsidRPr="000670D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11" w:type="dxa"/>
            <w:gridSpan w:val="2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(relationship)</w:t>
            </w:r>
            <w:r w:rsidRPr="000670D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</w:tr>
      <w:tr w:rsidR="00B05AAA" w:rsidRPr="000670D5" w:rsidTr="00D23794">
        <w:trPr>
          <w:cantSplit/>
          <w:trHeight w:val="410"/>
        </w:trPr>
        <w:tc>
          <w:tcPr>
            <w:tcW w:w="5854" w:type="dxa"/>
            <w:gridSpan w:val="5"/>
            <w:vAlign w:val="center"/>
          </w:tcPr>
          <w:p w:rsidR="00B05AAA" w:rsidRPr="000670D5" w:rsidRDefault="00B05AAA" w:rsidP="00D2379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(</w:t>
            </w:r>
            <w:r w:rsidR="00D23794" w:rsidRPr="000670D5">
              <w:rPr>
                <w:rFonts w:ascii="Arial" w:hAnsi="Arial" w:cs="Arial"/>
                <w:sz w:val="16"/>
                <w:szCs w:val="16"/>
              </w:rPr>
              <w:t>email</w:t>
            </w:r>
            <w:r w:rsidR="005A3CAD" w:rsidRPr="000670D5">
              <w:rPr>
                <w:rFonts w:ascii="Arial" w:hAnsi="Arial" w:cs="Arial"/>
                <w:sz w:val="16"/>
                <w:szCs w:val="16"/>
              </w:rPr>
              <w:t xml:space="preserve"> or signature</w:t>
            </w:r>
            <w:r w:rsidRPr="000670D5">
              <w:rPr>
                <w:rFonts w:ascii="Arial" w:hAnsi="Arial" w:cs="Arial"/>
                <w:sz w:val="16"/>
                <w:szCs w:val="16"/>
              </w:rPr>
              <w:t>)</w:t>
            </w:r>
            <w:r w:rsidR="00D23794" w:rsidRPr="000670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794"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3794" w:rsidRPr="000670D5">
              <w:rPr>
                <w:rFonts w:ascii="Arial" w:hAnsi="Arial" w:cs="Arial"/>
              </w:rPr>
              <w:instrText xml:space="preserve"> FORMTEXT </w:instrText>
            </w:r>
            <w:r w:rsidR="00D23794" w:rsidRPr="000670D5">
              <w:rPr>
                <w:rFonts w:ascii="Arial" w:hAnsi="Arial" w:cs="Arial"/>
              </w:rPr>
            </w:r>
            <w:r w:rsidR="00D23794" w:rsidRPr="000670D5">
              <w:rPr>
                <w:rFonts w:ascii="Arial" w:hAnsi="Arial" w:cs="Arial"/>
              </w:rPr>
              <w:fldChar w:fldCharType="separate"/>
            </w:r>
            <w:r w:rsidR="00D23794" w:rsidRPr="000670D5">
              <w:rPr>
                <w:rFonts w:ascii="Arial" w:hAnsi="Arial" w:cs="Arial"/>
              </w:rPr>
              <w:t> </w:t>
            </w:r>
            <w:r w:rsidR="00D23794" w:rsidRPr="000670D5">
              <w:rPr>
                <w:rFonts w:ascii="Arial" w:hAnsi="Arial" w:cs="Arial"/>
              </w:rPr>
              <w:t> </w:t>
            </w:r>
            <w:r w:rsidR="00D23794" w:rsidRPr="000670D5">
              <w:rPr>
                <w:rFonts w:ascii="Arial" w:hAnsi="Arial" w:cs="Arial"/>
              </w:rPr>
              <w:t> </w:t>
            </w:r>
            <w:r w:rsidR="00D23794" w:rsidRPr="000670D5">
              <w:rPr>
                <w:rFonts w:ascii="Arial" w:hAnsi="Arial" w:cs="Arial"/>
              </w:rPr>
              <w:t> </w:t>
            </w:r>
            <w:r w:rsidR="00D23794" w:rsidRPr="000670D5">
              <w:rPr>
                <w:rFonts w:ascii="Arial" w:hAnsi="Arial" w:cs="Arial"/>
              </w:rPr>
              <w:t> </w:t>
            </w:r>
            <w:r w:rsidR="00D23794" w:rsidRPr="000670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11" w:type="dxa"/>
            <w:gridSpan w:val="2"/>
          </w:tcPr>
          <w:p w:rsidR="00B05AAA" w:rsidRPr="000670D5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0670D5">
              <w:rPr>
                <w:rFonts w:ascii="Arial" w:hAnsi="Arial" w:cs="Arial"/>
                <w:sz w:val="16"/>
                <w:szCs w:val="16"/>
              </w:rPr>
              <w:t>(date)</w:t>
            </w:r>
            <w:r w:rsidRPr="000670D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0670D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70D5">
              <w:rPr>
                <w:rFonts w:ascii="Arial" w:hAnsi="Arial" w:cs="Arial"/>
              </w:rPr>
              <w:instrText xml:space="preserve"> FORMTEXT </w:instrText>
            </w:r>
            <w:r w:rsidRPr="000670D5">
              <w:rPr>
                <w:rFonts w:ascii="Arial" w:hAnsi="Arial" w:cs="Arial"/>
              </w:rPr>
            </w:r>
            <w:r w:rsidRPr="000670D5">
              <w:rPr>
                <w:rFonts w:ascii="Arial" w:hAnsi="Arial" w:cs="Arial"/>
              </w:rPr>
              <w:fldChar w:fldCharType="separate"/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t> </w:t>
            </w:r>
            <w:r w:rsidRPr="000670D5">
              <w:rPr>
                <w:rFonts w:ascii="Arial" w:hAnsi="Arial" w:cs="Arial"/>
              </w:rPr>
              <w:fldChar w:fldCharType="end"/>
            </w:r>
          </w:p>
        </w:tc>
      </w:tr>
    </w:tbl>
    <w:p w:rsidR="000173A9" w:rsidRDefault="000173A9" w:rsidP="00616847">
      <w:pPr>
        <w:rPr>
          <w:rFonts w:ascii="Arial" w:hAnsi="Arial" w:cs="Arial"/>
          <w:sz w:val="10"/>
          <w:szCs w:val="10"/>
        </w:rPr>
      </w:pPr>
    </w:p>
    <w:p w:rsidR="0054301E" w:rsidRDefault="0054301E" w:rsidP="00616847">
      <w:pPr>
        <w:rPr>
          <w:rFonts w:ascii="Arial" w:hAnsi="Arial" w:cs="Arial"/>
          <w:sz w:val="10"/>
          <w:szCs w:val="10"/>
        </w:rPr>
      </w:pPr>
    </w:p>
    <w:p w:rsidR="000670D5" w:rsidRDefault="000670D5" w:rsidP="00616847">
      <w:pPr>
        <w:rPr>
          <w:rFonts w:ascii="Arial" w:hAnsi="Arial" w:cs="Arial"/>
          <w:sz w:val="10"/>
          <w:szCs w:val="10"/>
        </w:rPr>
      </w:pPr>
    </w:p>
    <w:p w:rsidR="000670D5" w:rsidRDefault="000670D5" w:rsidP="00616847">
      <w:pPr>
        <w:rPr>
          <w:rFonts w:ascii="Arial" w:hAnsi="Arial" w:cs="Arial"/>
          <w:sz w:val="10"/>
          <w:szCs w:val="10"/>
        </w:rPr>
      </w:pPr>
    </w:p>
    <w:p w:rsidR="000670D5" w:rsidRDefault="000670D5" w:rsidP="00616847">
      <w:pPr>
        <w:rPr>
          <w:rFonts w:ascii="Arial" w:hAnsi="Arial" w:cs="Arial"/>
          <w:sz w:val="10"/>
          <w:szCs w:val="10"/>
        </w:rPr>
      </w:pPr>
    </w:p>
    <w:p w:rsidR="000670D5" w:rsidRDefault="000670D5" w:rsidP="00616847">
      <w:pPr>
        <w:rPr>
          <w:rFonts w:ascii="Arial" w:hAnsi="Arial" w:cs="Arial"/>
          <w:sz w:val="10"/>
          <w:szCs w:val="10"/>
        </w:rPr>
      </w:pPr>
    </w:p>
    <w:p w:rsidR="000670D5" w:rsidRDefault="000670D5" w:rsidP="00616847">
      <w:pPr>
        <w:rPr>
          <w:rFonts w:ascii="Arial" w:hAnsi="Arial" w:cs="Arial"/>
          <w:sz w:val="10"/>
          <w:szCs w:val="10"/>
        </w:rPr>
      </w:pPr>
    </w:p>
    <w:p w:rsidR="0054301E" w:rsidRDefault="0054301E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</w:p>
    <w:p w:rsidR="005451B3" w:rsidRDefault="005451B3" w:rsidP="0054301E">
      <w:pPr>
        <w:ind w:left="-993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object w:dxaOrig="11233" w:dyaOrig="16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33.5pt" o:ole="">
            <v:imagedata r:id="rId16" o:title="" croptop="6828f" cropbottom="3109f" cropleft="6850f" cropright="1296f"/>
          </v:shape>
          <o:OLEObject Type="Embed" ProgID="Visio.Drawing.15" ShapeID="_x0000_i1025" DrawAspect="Content" ObjectID="_1625998930" r:id="rId17"/>
        </w:object>
      </w:r>
    </w:p>
    <w:sectPr w:rsidR="005451B3" w:rsidSect="00967F83">
      <w:headerReference w:type="default" r:id="rId18"/>
      <w:footerReference w:type="even" r:id="rId19"/>
      <w:footerReference w:type="default" r:id="rId20"/>
      <w:pgSz w:w="11907" w:h="16840" w:code="9"/>
      <w:pgMar w:top="567" w:right="425" w:bottom="284" w:left="1418" w:header="34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4C" w:rsidRDefault="0055564C">
      <w:r>
        <w:separator/>
      </w:r>
    </w:p>
  </w:endnote>
  <w:endnote w:type="continuationSeparator" w:id="0">
    <w:p w:rsidR="0055564C" w:rsidRDefault="0055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B1" w:rsidRDefault="00A52CFC" w:rsidP="00A52CFC">
    <w:pPr>
      <w:pStyle w:val="Footer"/>
      <w:tabs>
        <w:tab w:val="left" w:pos="319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W w:w="13047" w:type="dxa"/>
      <w:tblInd w:w="-459" w:type="dxa"/>
      <w:tblLook w:val="04A0" w:firstRow="1" w:lastRow="0" w:firstColumn="1" w:lastColumn="0" w:noHBand="0" w:noVBand="1"/>
    </w:tblPr>
    <w:tblGrid>
      <w:gridCol w:w="2676"/>
      <w:gridCol w:w="3489"/>
      <w:gridCol w:w="2917"/>
      <w:gridCol w:w="1220"/>
      <w:gridCol w:w="2745"/>
    </w:tblGrid>
    <w:tr w:rsidR="009828AC" w:rsidRPr="003F214F" w:rsidTr="00FC42E5">
      <w:trPr>
        <w:trHeight w:val="634"/>
      </w:trPr>
      <w:tc>
        <w:tcPr>
          <w:tcW w:w="1980" w:type="dxa"/>
          <w:shd w:val="clear" w:color="auto" w:fill="auto"/>
        </w:tcPr>
        <w:p w:rsidR="009828AC" w:rsidRPr="003F214F" w:rsidRDefault="009828AC" w:rsidP="009828AC">
          <w:pPr>
            <w:jc w:val="both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i/>
              <w:sz w:val="16"/>
              <w:szCs w:val="16"/>
            </w:rPr>
            <w:tab/>
          </w:r>
          <w:r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474F64B7" wp14:editId="4BD799DF">
                <wp:extent cx="1104900" cy="3048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shd w:val="clear" w:color="auto" w:fill="auto"/>
        </w:tcPr>
        <w:p w:rsidR="009828AC" w:rsidRPr="003F214F" w:rsidRDefault="009828AC" w:rsidP="00FC42E5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HSP371 Hydrocephalus and shunt care plan</w:t>
          </w:r>
        </w:p>
      </w:tc>
      <w:tc>
        <w:tcPr>
          <w:tcW w:w="3119" w:type="dxa"/>
          <w:shd w:val="clear" w:color="auto" w:fill="auto"/>
        </w:tcPr>
        <w:p w:rsidR="009828AC" w:rsidRPr="003F214F" w:rsidRDefault="009828AC" w:rsidP="00FC42E5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>Version 1.</w:t>
          </w:r>
          <w:r w:rsidR="005451B3">
            <w:rPr>
              <w:rFonts w:ascii="Arial" w:hAnsi="Arial" w:cs="Arial"/>
              <w:sz w:val="16"/>
              <w:szCs w:val="16"/>
            </w:rPr>
            <w:t>4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9828AC" w:rsidRPr="003F214F" w:rsidRDefault="005451B3" w:rsidP="00FC42E5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July</w:t>
          </w:r>
          <w:r w:rsidR="009828AC" w:rsidRPr="003F214F">
            <w:rPr>
              <w:rFonts w:ascii="Arial" w:hAnsi="Arial" w:cs="Arial"/>
              <w:sz w:val="16"/>
              <w:szCs w:val="16"/>
            </w:rPr>
            <w:t xml:space="preserve"> 2019</w:t>
          </w:r>
        </w:p>
      </w:tc>
      <w:tc>
        <w:tcPr>
          <w:tcW w:w="1276" w:type="dxa"/>
          <w:shd w:val="clear" w:color="auto" w:fill="auto"/>
        </w:tcPr>
        <w:p w:rsidR="009828AC" w:rsidRDefault="009828AC" w:rsidP="00FC42E5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038DB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038DB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982" w:type="dxa"/>
          <w:shd w:val="clear" w:color="auto" w:fill="auto"/>
        </w:tcPr>
        <w:p w:rsidR="009828AC" w:rsidRPr="003F214F" w:rsidRDefault="009828AC" w:rsidP="00FC42E5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</w:p>
      </w:tc>
    </w:tr>
  </w:tbl>
  <w:p w:rsidR="00A52CFC" w:rsidRPr="009F10B1" w:rsidRDefault="00A52CFC" w:rsidP="009828AC">
    <w:pPr>
      <w:pStyle w:val="Footer"/>
      <w:tabs>
        <w:tab w:val="clear" w:pos="4320"/>
        <w:tab w:val="clear" w:pos="8640"/>
        <w:tab w:val="left" w:pos="1845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4C" w:rsidRDefault="0055564C">
      <w:r>
        <w:separator/>
      </w:r>
    </w:p>
  </w:footnote>
  <w:footnote w:type="continuationSeparator" w:id="0">
    <w:p w:rsidR="0055564C" w:rsidRDefault="0055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AC" w:rsidRDefault="009828AC" w:rsidP="009828AC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:rsidR="009828AC" w:rsidRPr="003A3BBB" w:rsidRDefault="009828AC" w:rsidP="009828AC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9828AC" w:rsidRPr="0067219D" w:rsidRDefault="009828AC" w:rsidP="009828AC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487ACF" w:rsidRPr="009828AC" w:rsidRDefault="000670D5">
    <w:pPr>
      <w:pStyle w:val="Header"/>
      <w:rPr>
        <w:sz w:val="10"/>
        <w:szCs w:val="10"/>
      </w:rPr>
    </w:pPr>
    <w:r w:rsidRPr="009828AC">
      <w:rPr>
        <w:noProof/>
        <w:sz w:val="10"/>
        <w:szCs w:val="10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6E00FB" wp14:editId="7F284797">
              <wp:simplePos x="0" y="0"/>
              <wp:positionH relativeFrom="column">
                <wp:posOffset>6129020</wp:posOffset>
              </wp:positionH>
              <wp:positionV relativeFrom="paragraph">
                <wp:posOffset>117475</wp:posOffset>
              </wp:positionV>
              <wp:extent cx="466725" cy="9534525"/>
              <wp:effectExtent l="0" t="0" r="0" b="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53452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AAA" w:rsidRPr="00661F31" w:rsidRDefault="00B05AAA" w:rsidP="00B05AAA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 w:rsidR="00A52CFC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HYDROCEPHALUS AND SHUNT </w:t>
                          </w:r>
                          <w:r w:rsidR="00C456E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CARE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PLAN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A52CFC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   </w:t>
                          </w:r>
                          <w:r w:rsidR="00905BD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</w:t>
                          </w:r>
                          <w:r w:rsidR="00A52CFC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371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E00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margin-left:482.6pt;margin-top:9.25pt;width:36.75pt;height:7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" fillcolor="#b8cce4" strokecolor="white">
              <v:fill r:id="rId1" o:title="" type="pattern"/>
              <v:textbox style="layout-flow:vertical;mso-layout-flow-alt:bottom-to-top">
                <w:txbxContent>
                  <w:p w:rsidR="00B05AAA" w:rsidRPr="00661F31" w:rsidRDefault="00B05AAA" w:rsidP="00B05AAA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 w:rsidR="00A52CFC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HYDROCEPHALUS AND SHUNT </w:t>
                    </w:r>
                    <w:r w:rsidR="00C456E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CARE 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PLAN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="00A52CFC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   </w:t>
                    </w:r>
                    <w:r w:rsidR="00905BD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</w:t>
                    </w:r>
                    <w:r w:rsidR="00A52CFC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371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8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9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 w15:restartNumberingAfterBreak="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35"/>
  </w:num>
  <w:num w:numId="10">
    <w:abstractNumId w:val="8"/>
  </w:num>
  <w:num w:numId="11">
    <w:abstractNumId w:val="32"/>
  </w:num>
  <w:num w:numId="12">
    <w:abstractNumId w:val="25"/>
  </w:num>
  <w:num w:numId="13">
    <w:abstractNumId w:val="22"/>
  </w:num>
  <w:num w:numId="14">
    <w:abstractNumId w:val="0"/>
  </w:num>
  <w:num w:numId="15">
    <w:abstractNumId w:val="12"/>
  </w:num>
  <w:num w:numId="16">
    <w:abstractNumId w:val="20"/>
  </w:num>
  <w:num w:numId="17">
    <w:abstractNumId w:val="37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3"/>
  </w:num>
  <w:num w:numId="28">
    <w:abstractNumId w:val="9"/>
  </w:num>
  <w:num w:numId="29">
    <w:abstractNumId w:val="34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6"/>
  </w:num>
  <w:num w:numId="36">
    <w:abstractNumId w:val="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0"/>
    <w:rsid w:val="0000251E"/>
    <w:rsid w:val="00011B24"/>
    <w:rsid w:val="0001367E"/>
    <w:rsid w:val="000173A9"/>
    <w:rsid w:val="000235E7"/>
    <w:rsid w:val="000354F5"/>
    <w:rsid w:val="000578D1"/>
    <w:rsid w:val="00063BA2"/>
    <w:rsid w:val="000670D5"/>
    <w:rsid w:val="00090A5B"/>
    <w:rsid w:val="00091788"/>
    <w:rsid w:val="000B08CA"/>
    <w:rsid w:val="000B1680"/>
    <w:rsid w:val="000C6AAD"/>
    <w:rsid w:val="000E62D8"/>
    <w:rsid w:val="0012216A"/>
    <w:rsid w:val="00181F8F"/>
    <w:rsid w:val="00182747"/>
    <w:rsid w:val="00184512"/>
    <w:rsid w:val="001B1A95"/>
    <w:rsid w:val="001D111A"/>
    <w:rsid w:val="001D6E1B"/>
    <w:rsid w:val="001E37E1"/>
    <w:rsid w:val="001E7580"/>
    <w:rsid w:val="00200E43"/>
    <w:rsid w:val="00224AF7"/>
    <w:rsid w:val="00226C5D"/>
    <w:rsid w:val="0023043E"/>
    <w:rsid w:val="002422DC"/>
    <w:rsid w:val="002424A6"/>
    <w:rsid w:val="00244749"/>
    <w:rsid w:val="00266470"/>
    <w:rsid w:val="003054AE"/>
    <w:rsid w:val="00326405"/>
    <w:rsid w:val="00331F70"/>
    <w:rsid w:val="00332EF6"/>
    <w:rsid w:val="003335D6"/>
    <w:rsid w:val="00346A39"/>
    <w:rsid w:val="00362516"/>
    <w:rsid w:val="00363692"/>
    <w:rsid w:val="00364A55"/>
    <w:rsid w:val="00381F11"/>
    <w:rsid w:val="0038219F"/>
    <w:rsid w:val="003A1AD7"/>
    <w:rsid w:val="003A25C6"/>
    <w:rsid w:val="003B6981"/>
    <w:rsid w:val="003F202C"/>
    <w:rsid w:val="003F71CF"/>
    <w:rsid w:val="004038DB"/>
    <w:rsid w:val="00406552"/>
    <w:rsid w:val="0041516B"/>
    <w:rsid w:val="00432100"/>
    <w:rsid w:val="00434EFA"/>
    <w:rsid w:val="00441DBC"/>
    <w:rsid w:val="00443A06"/>
    <w:rsid w:val="00453DCB"/>
    <w:rsid w:val="00457ED6"/>
    <w:rsid w:val="00464AA6"/>
    <w:rsid w:val="004654D1"/>
    <w:rsid w:val="00482C32"/>
    <w:rsid w:val="004840F4"/>
    <w:rsid w:val="00487ACF"/>
    <w:rsid w:val="00496964"/>
    <w:rsid w:val="004B6A76"/>
    <w:rsid w:val="004C2C6A"/>
    <w:rsid w:val="004C42D4"/>
    <w:rsid w:val="004C603A"/>
    <w:rsid w:val="004D2237"/>
    <w:rsid w:val="004D5656"/>
    <w:rsid w:val="004F0EB1"/>
    <w:rsid w:val="00537974"/>
    <w:rsid w:val="0054301E"/>
    <w:rsid w:val="005451B3"/>
    <w:rsid w:val="00545E0F"/>
    <w:rsid w:val="0055220B"/>
    <w:rsid w:val="0055564C"/>
    <w:rsid w:val="00574D59"/>
    <w:rsid w:val="005860B0"/>
    <w:rsid w:val="00595DA2"/>
    <w:rsid w:val="005A3CAD"/>
    <w:rsid w:val="005A7D7E"/>
    <w:rsid w:val="005B0A3F"/>
    <w:rsid w:val="005B56C2"/>
    <w:rsid w:val="005C0E9C"/>
    <w:rsid w:val="005C1030"/>
    <w:rsid w:val="005C3650"/>
    <w:rsid w:val="005E3B06"/>
    <w:rsid w:val="005E60FE"/>
    <w:rsid w:val="005F2125"/>
    <w:rsid w:val="00610CAC"/>
    <w:rsid w:val="00616847"/>
    <w:rsid w:val="00661F31"/>
    <w:rsid w:val="00670AE8"/>
    <w:rsid w:val="0068439F"/>
    <w:rsid w:val="00690057"/>
    <w:rsid w:val="006940AC"/>
    <w:rsid w:val="006A27BE"/>
    <w:rsid w:val="006A3FFA"/>
    <w:rsid w:val="006D2505"/>
    <w:rsid w:val="0070392F"/>
    <w:rsid w:val="00712F9E"/>
    <w:rsid w:val="00717C17"/>
    <w:rsid w:val="00721AAD"/>
    <w:rsid w:val="007549A3"/>
    <w:rsid w:val="00773EB9"/>
    <w:rsid w:val="00790B30"/>
    <w:rsid w:val="00797080"/>
    <w:rsid w:val="007D5D40"/>
    <w:rsid w:val="007F3621"/>
    <w:rsid w:val="00801030"/>
    <w:rsid w:val="00820DC6"/>
    <w:rsid w:val="008262FB"/>
    <w:rsid w:val="00853343"/>
    <w:rsid w:val="0085432B"/>
    <w:rsid w:val="00861C6F"/>
    <w:rsid w:val="0088704E"/>
    <w:rsid w:val="008A50D9"/>
    <w:rsid w:val="008D2220"/>
    <w:rsid w:val="008F7E34"/>
    <w:rsid w:val="00901F5C"/>
    <w:rsid w:val="00904FCE"/>
    <w:rsid w:val="00905BD5"/>
    <w:rsid w:val="00931013"/>
    <w:rsid w:val="00931F5E"/>
    <w:rsid w:val="00932E2F"/>
    <w:rsid w:val="009370E8"/>
    <w:rsid w:val="00956908"/>
    <w:rsid w:val="009645F0"/>
    <w:rsid w:val="00967A4C"/>
    <w:rsid w:val="00967F83"/>
    <w:rsid w:val="00972829"/>
    <w:rsid w:val="00972EB8"/>
    <w:rsid w:val="009828AC"/>
    <w:rsid w:val="00991E71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33477"/>
    <w:rsid w:val="00A52CFC"/>
    <w:rsid w:val="00A9507A"/>
    <w:rsid w:val="00A95DE7"/>
    <w:rsid w:val="00AA00BE"/>
    <w:rsid w:val="00AA2792"/>
    <w:rsid w:val="00AA2BEA"/>
    <w:rsid w:val="00AB4FB2"/>
    <w:rsid w:val="00AD03FF"/>
    <w:rsid w:val="00AD6A86"/>
    <w:rsid w:val="00B05AAA"/>
    <w:rsid w:val="00B109DA"/>
    <w:rsid w:val="00B22503"/>
    <w:rsid w:val="00B330E5"/>
    <w:rsid w:val="00B36FEE"/>
    <w:rsid w:val="00B57133"/>
    <w:rsid w:val="00B76516"/>
    <w:rsid w:val="00B76D6F"/>
    <w:rsid w:val="00B80154"/>
    <w:rsid w:val="00BA6311"/>
    <w:rsid w:val="00BB2057"/>
    <w:rsid w:val="00BD15C4"/>
    <w:rsid w:val="00BD4604"/>
    <w:rsid w:val="00BE62C0"/>
    <w:rsid w:val="00BE775D"/>
    <w:rsid w:val="00C07E3B"/>
    <w:rsid w:val="00C17BB5"/>
    <w:rsid w:val="00C20701"/>
    <w:rsid w:val="00C32494"/>
    <w:rsid w:val="00C3617A"/>
    <w:rsid w:val="00C4263A"/>
    <w:rsid w:val="00C456E7"/>
    <w:rsid w:val="00C745AB"/>
    <w:rsid w:val="00C849C7"/>
    <w:rsid w:val="00C90D17"/>
    <w:rsid w:val="00CA299E"/>
    <w:rsid w:val="00CA38DA"/>
    <w:rsid w:val="00CD1407"/>
    <w:rsid w:val="00D1693B"/>
    <w:rsid w:val="00D23794"/>
    <w:rsid w:val="00D35C4F"/>
    <w:rsid w:val="00D54732"/>
    <w:rsid w:val="00D82D7B"/>
    <w:rsid w:val="00DA3602"/>
    <w:rsid w:val="00DA4E21"/>
    <w:rsid w:val="00DB08EB"/>
    <w:rsid w:val="00DC4C0B"/>
    <w:rsid w:val="00DD1D28"/>
    <w:rsid w:val="00DD4437"/>
    <w:rsid w:val="00DD4F0D"/>
    <w:rsid w:val="00E06C47"/>
    <w:rsid w:val="00E1128F"/>
    <w:rsid w:val="00E32652"/>
    <w:rsid w:val="00E33984"/>
    <w:rsid w:val="00E45507"/>
    <w:rsid w:val="00E4554F"/>
    <w:rsid w:val="00E6534E"/>
    <w:rsid w:val="00E67110"/>
    <w:rsid w:val="00E70C5B"/>
    <w:rsid w:val="00E83068"/>
    <w:rsid w:val="00EB16E8"/>
    <w:rsid w:val="00EB34C0"/>
    <w:rsid w:val="00ED60FE"/>
    <w:rsid w:val="00ED6284"/>
    <w:rsid w:val="00ED71E8"/>
    <w:rsid w:val="00EE0E1D"/>
    <w:rsid w:val="00EE35B0"/>
    <w:rsid w:val="00EF6F38"/>
    <w:rsid w:val="00F10AAB"/>
    <w:rsid w:val="00F134C0"/>
    <w:rsid w:val="00F2624D"/>
    <w:rsid w:val="00F263D0"/>
    <w:rsid w:val="00F30807"/>
    <w:rsid w:val="00F36C2A"/>
    <w:rsid w:val="00F5105E"/>
    <w:rsid w:val="00F724FE"/>
    <w:rsid w:val="00F85C51"/>
    <w:rsid w:val="00FA36D5"/>
    <w:rsid w:val="00FA3A72"/>
    <w:rsid w:val="00FA3B9D"/>
    <w:rsid w:val="00FA6E86"/>
    <w:rsid w:val="00FB206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121728-45AD-419D-90AD-93D0FB79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9828A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sa.gov.au/sites/g/files/net691/f/individual-first-aid-plan.doc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ducation.sa.gov.au/sites/g/files/net691/f/individual-first-aid-plan.doc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E9F2-4713-471F-8A5C-9920396A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HSP371 Hydrocephalus and shunt care plan</vt:lpstr>
    </vt:vector>
  </TitlesOfParts>
  <Company>DECS</Company>
  <LinksUpToDate>false</LinksUpToDate>
  <CharactersWithSpaces>5287</CharactersWithSpaces>
  <SharedDoc>false</SharedDoc>
  <HLinks>
    <vt:vector size="12" baseType="variant">
      <vt:variant>
        <vt:i4>4849748</vt:i4>
      </vt:variant>
      <vt:variant>
        <vt:i4>20</vt:i4>
      </vt:variant>
      <vt:variant>
        <vt:i4>0</vt:i4>
      </vt:variant>
      <vt:variant>
        <vt:i4>5</vt:i4>
      </vt:variant>
      <vt:variant>
        <vt:lpwstr>https://www.education.sa.gov.au/sites/g/files/net691/f/individual-first-aid-plan.doc</vt:lpwstr>
      </vt:variant>
      <vt:variant>
        <vt:lpwstr/>
      </vt:variant>
      <vt:variant>
        <vt:i4>4849748</vt:i4>
      </vt:variant>
      <vt:variant>
        <vt:i4>15</vt:i4>
      </vt:variant>
      <vt:variant>
        <vt:i4>0</vt:i4>
      </vt:variant>
      <vt:variant>
        <vt:i4>5</vt:i4>
      </vt:variant>
      <vt:variant>
        <vt:lpwstr>https://www.education.sa.gov.au/sites/g/files/net691/f/individual-first-aid-plan.doc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HSP371 Hydrocephalus and shunt care plan</dc:title>
  <dc:subject>A form used to grant authority for the administration of medication in education and childcare settings.</dc:subject>
  <dc:creator>Heays;Debra</dc:creator>
  <cp:keywords>HSP371, hydrocephalus, shunt, spina, bifida, health</cp:keywords>
  <cp:lastModifiedBy>Kathryn Power</cp:lastModifiedBy>
  <cp:revision>2</cp:revision>
  <cp:lastPrinted>2018-02-13T02:35:00Z</cp:lastPrinted>
  <dcterms:created xsi:type="dcterms:W3CDTF">2019-07-30T04:06:00Z</dcterms:created>
  <dcterms:modified xsi:type="dcterms:W3CDTF">2019-07-30T04:06:00Z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A4282426</vt:lpwstr>
  </property>
  <property fmtid="{D5CDD505-2E9C-101B-9397-08002B2CF9AE}" pid="3" name="Objective-Title">
    <vt:lpwstr>HSP360_Cystic fibrosis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2018-06-06T06:08:02Z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2018-06-06T06:08:07Z</vt:filetime>
  </property>
  <property fmtid="{D5CDD505-2E9C-101B-9397-08002B2CF9AE}" pid="9" name="Objective-ModificationStamp">
    <vt:filetime>2018-06-06T06:08:07Z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Process:Cystic Fibrosis - 2018:</vt:lpwstr>
  </property>
  <property fmtid="{D5CDD505-2E9C-101B-9397-08002B2CF9AE}" pid="12" name="Objective-Parent">
    <vt:lpwstr>Cystic Fibrosis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DECD18/07536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DIVISION:DISABILITY POLICY AND PROGRAMS DIRECTORATE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