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AA99C" w14:textId="50AB819F" w:rsidR="00721B37" w:rsidRPr="00536EF4" w:rsidRDefault="003D4BA5" w:rsidP="007A2516">
      <w:pPr>
        <w:pStyle w:val="Level2-Subheading"/>
        <w:pBdr>
          <w:bottom w:val="single" w:sz="18" w:space="6" w:color="ADCB00"/>
        </w:pBdr>
        <w:spacing w:before="0"/>
        <w:ind w:right="135"/>
        <w:rPr>
          <w:rFonts w:asciiTheme="minorHAnsi" w:hAnsiTheme="minorHAnsi" w:cstheme="minorHAnsi"/>
          <w:b/>
          <w:bCs/>
          <w:color w:val="002855"/>
        </w:rPr>
      </w:pPr>
      <w:r>
        <w:rPr>
          <w:rFonts w:asciiTheme="minorHAnsi" w:hAnsiTheme="minorHAnsi" w:cstheme="minorHAnsi"/>
          <w:b/>
          <w:bCs/>
          <w:color w:val="002855"/>
        </w:rPr>
        <w:t xml:space="preserve">Signs of </w:t>
      </w:r>
      <w:r w:rsidR="000764E0">
        <w:rPr>
          <w:rFonts w:asciiTheme="minorHAnsi" w:hAnsiTheme="minorHAnsi" w:cstheme="minorHAnsi"/>
          <w:b/>
          <w:bCs/>
          <w:color w:val="002855"/>
        </w:rPr>
        <w:t xml:space="preserve">healthy sexual </w:t>
      </w:r>
      <w:proofErr w:type="spellStart"/>
      <w:r w:rsidR="000764E0">
        <w:rPr>
          <w:rFonts w:asciiTheme="minorHAnsi" w:hAnsiTheme="minorHAnsi" w:cstheme="minorHAnsi"/>
          <w:b/>
          <w:bCs/>
          <w:color w:val="002855"/>
        </w:rPr>
        <w:t>behaviour</w:t>
      </w:r>
      <w:proofErr w:type="spellEnd"/>
      <w:r w:rsidR="000764E0">
        <w:rPr>
          <w:rFonts w:asciiTheme="minorHAnsi" w:hAnsiTheme="minorHAnsi" w:cstheme="minorHAnsi"/>
          <w:b/>
          <w:bCs/>
          <w:color w:val="002855"/>
        </w:rPr>
        <w:t xml:space="preserve"> assessment and </w:t>
      </w:r>
      <w:r w:rsidR="00696D7A">
        <w:rPr>
          <w:rFonts w:asciiTheme="minorHAnsi" w:hAnsiTheme="minorHAnsi" w:cstheme="minorHAnsi"/>
          <w:b/>
          <w:bCs/>
          <w:color w:val="002855"/>
        </w:rPr>
        <w:br/>
      </w:r>
      <w:r w:rsidR="000764E0">
        <w:rPr>
          <w:rFonts w:asciiTheme="minorHAnsi" w:hAnsiTheme="minorHAnsi" w:cstheme="minorHAnsi"/>
          <w:b/>
          <w:bCs/>
          <w:color w:val="002855"/>
        </w:rPr>
        <w:t>planning framework</w:t>
      </w:r>
    </w:p>
    <w:p w14:paraId="21C862DD" w14:textId="2B9026CF" w:rsidR="00721B37" w:rsidRPr="00F87B27" w:rsidRDefault="00721B37" w:rsidP="00951599">
      <w:pPr>
        <w:pStyle w:val="BodyText"/>
        <w:spacing w:before="120" w:after="120"/>
        <w:rPr>
          <w:rFonts w:asciiTheme="minorHAnsi" w:hAnsiTheme="minorHAnsi" w:cstheme="minorHAnsi"/>
          <w:b/>
          <w:bCs/>
          <w:color w:val="002855"/>
          <w:sz w:val="21"/>
          <w:szCs w:val="21"/>
        </w:rPr>
      </w:pPr>
      <w:r w:rsidRPr="00F87B27">
        <w:rPr>
          <w:rFonts w:asciiTheme="minorHAnsi" w:hAnsiTheme="minorHAnsi" w:cstheme="minorHAnsi"/>
          <w:b/>
          <w:bCs/>
          <w:color w:val="002855"/>
          <w:sz w:val="21"/>
          <w:szCs w:val="21"/>
        </w:rPr>
        <w:t xml:space="preserve">Type </w:t>
      </w:r>
      <w:r w:rsidR="001D4859" w:rsidRPr="00F87B27">
        <w:rPr>
          <w:rFonts w:asciiTheme="minorHAnsi" w:hAnsiTheme="minorHAnsi" w:cstheme="minorHAnsi"/>
          <w:b/>
          <w:bCs/>
          <w:color w:val="002855"/>
          <w:sz w:val="21"/>
          <w:szCs w:val="21"/>
        </w:rPr>
        <w:t>your</w:t>
      </w:r>
      <w:r w:rsidR="00536EF4" w:rsidRPr="00F87B27">
        <w:rPr>
          <w:rFonts w:asciiTheme="minorHAnsi" w:hAnsiTheme="minorHAnsi" w:cstheme="minorHAnsi"/>
          <w:b/>
          <w:bCs/>
          <w:color w:val="002855"/>
          <w:sz w:val="21"/>
          <w:szCs w:val="21"/>
        </w:rPr>
        <w:t xml:space="preserve"> information </w:t>
      </w:r>
      <w:r w:rsidRPr="00F87B27">
        <w:rPr>
          <w:rFonts w:asciiTheme="minorHAnsi" w:hAnsiTheme="minorHAnsi" w:cstheme="minorHAnsi"/>
          <w:b/>
          <w:bCs/>
          <w:color w:val="002855"/>
          <w:sz w:val="21"/>
          <w:szCs w:val="21"/>
        </w:rPr>
        <w:t xml:space="preserve">into the template and delete the </w:t>
      </w:r>
      <w:r w:rsidR="00D91360">
        <w:rPr>
          <w:rFonts w:asciiTheme="minorHAnsi" w:hAnsiTheme="minorHAnsi" w:cstheme="minorHAnsi"/>
          <w:b/>
          <w:bCs/>
          <w:color w:val="002855"/>
          <w:sz w:val="21"/>
          <w:szCs w:val="21"/>
        </w:rPr>
        <w:t>prompts</w:t>
      </w:r>
      <w:r w:rsidRPr="00F87B27">
        <w:rPr>
          <w:rFonts w:asciiTheme="minorHAnsi" w:hAnsiTheme="minorHAnsi" w:cstheme="minorHAnsi"/>
          <w:b/>
          <w:bCs/>
          <w:color w:val="002855"/>
          <w:sz w:val="21"/>
          <w:szCs w:val="21"/>
        </w:rPr>
        <w:t>.</w:t>
      </w:r>
    </w:p>
    <w:p w14:paraId="241A32CD" w14:textId="6D3CAFF1" w:rsidR="00284EC1" w:rsidRPr="00F87B27" w:rsidRDefault="00284EC1" w:rsidP="00284EC1">
      <w:pPr>
        <w:pStyle w:val="BodyText"/>
        <w:spacing w:before="120" w:after="180"/>
        <w:rPr>
          <w:rFonts w:asciiTheme="minorHAnsi" w:hAnsiTheme="minorHAnsi" w:cstheme="minorHAnsi"/>
          <w:color w:val="002855"/>
          <w:sz w:val="21"/>
          <w:szCs w:val="21"/>
        </w:rPr>
      </w:pPr>
      <w:r w:rsidRPr="00F87B27">
        <w:rPr>
          <w:rFonts w:asciiTheme="minorHAnsi" w:hAnsiTheme="minorHAnsi" w:cstheme="minorHAnsi"/>
          <w:color w:val="002855"/>
          <w:sz w:val="21"/>
          <w:szCs w:val="21"/>
        </w:rPr>
        <w:t>All descriptions written in the assessment and planning framework should be written in plain language that the child or young person and their parents can understand.</w:t>
      </w:r>
    </w:p>
    <w:p w14:paraId="4C996664" w14:textId="473BE155" w:rsidR="001D2515" w:rsidRPr="00F87B27" w:rsidRDefault="002F5384" w:rsidP="000E4FAD">
      <w:pPr>
        <w:pStyle w:val="BodyText"/>
        <w:spacing w:before="120" w:after="180"/>
        <w:rPr>
          <w:rFonts w:asciiTheme="minorHAnsi" w:hAnsiTheme="minorHAnsi" w:cstheme="minorHAnsi"/>
          <w:color w:val="002855"/>
          <w:sz w:val="21"/>
          <w:szCs w:val="21"/>
        </w:rPr>
      </w:pPr>
      <w:r w:rsidRPr="00F87B27">
        <w:rPr>
          <w:rFonts w:asciiTheme="minorHAnsi" w:hAnsiTheme="minorHAnsi" w:cstheme="minorHAnsi"/>
          <w:color w:val="002855"/>
          <w:sz w:val="21"/>
          <w:szCs w:val="21"/>
        </w:rPr>
        <w:t xml:space="preserve">See the ‘sexual </w:t>
      </w:r>
      <w:proofErr w:type="spellStart"/>
      <w:r w:rsidRPr="00F87B27">
        <w:rPr>
          <w:rFonts w:asciiTheme="minorHAnsi" w:hAnsiTheme="minorHAnsi" w:cstheme="minorHAnsi"/>
          <w:color w:val="002855"/>
          <w:sz w:val="21"/>
          <w:szCs w:val="21"/>
        </w:rPr>
        <w:t>behaviour</w:t>
      </w:r>
      <w:proofErr w:type="spellEnd"/>
      <w:r w:rsidRPr="00F87B27">
        <w:rPr>
          <w:rFonts w:asciiTheme="minorHAnsi" w:hAnsiTheme="minorHAnsi" w:cstheme="minorHAnsi"/>
          <w:color w:val="002855"/>
          <w:sz w:val="21"/>
          <w:szCs w:val="21"/>
        </w:rPr>
        <w:t xml:space="preserve"> in children and young people guideline</w:t>
      </w:r>
      <w:r w:rsidR="00284EC1" w:rsidRPr="00F87B27">
        <w:rPr>
          <w:rFonts w:asciiTheme="minorHAnsi" w:hAnsiTheme="minorHAnsi" w:cstheme="minorHAnsi"/>
          <w:color w:val="002855"/>
          <w:sz w:val="21"/>
          <w:szCs w:val="21"/>
        </w:rPr>
        <w:t>’</w:t>
      </w:r>
      <w:r w:rsidRPr="00F87B27">
        <w:rPr>
          <w:rFonts w:asciiTheme="minorHAnsi" w:hAnsiTheme="minorHAnsi" w:cstheme="minorHAnsi"/>
          <w:color w:val="002855"/>
          <w:sz w:val="21"/>
          <w:szCs w:val="21"/>
        </w:rPr>
        <w:t xml:space="preserve"> for more detail about using the </w:t>
      </w:r>
      <w:r w:rsidR="00D91360">
        <w:rPr>
          <w:rFonts w:asciiTheme="minorHAnsi" w:hAnsiTheme="minorHAnsi" w:cstheme="minorHAnsi"/>
          <w:color w:val="002855"/>
          <w:sz w:val="21"/>
          <w:szCs w:val="21"/>
        </w:rPr>
        <w:t>‘s</w:t>
      </w:r>
      <w:r w:rsidRPr="00F87B27">
        <w:rPr>
          <w:rFonts w:asciiTheme="minorHAnsi" w:hAnsiTheme="minorHAnsi" w:cstheme="minorHAnsi"/>
          <w:color w:val="002855"/>
          <w:sz w:val="21"/>
          <w:szCs w:val="21"/>
        </w:rPr>
        <w:t xml:space="preserve">igns of </w:t>
      </w:r>
      <w:r w:rsidR="00D91360">
        <w:rPr>
          <w:rFonts w:asciiTheme="minorHAnsi" w:hAnsiTheme="minorHAnsi" w:cstheme="minorHAnsi"/>
          <w:color w:val="002855"/>
          <w:sz w:val="21"/>
          <w:szCs w:val="21"/>
        </w:rPr>
        <w:t>healthy</w:t>
      </w:r>
      <w:r w:rsidRPr="00F87B27">
        <w:rPr>
          <w:rFonts w:asciiTheme="minorHAnsi" w:hAnsiTheme="minorHAnsi" w:cstheme="minorHAnsi"/>
          <w:color w:val="002855"/>
          <w:sz w:val="21"/>
          <w:szCs w:val="21"/>
        </w:rPr>
        <w:t xml:space="preserve"> </w:t>
      </w:r>
      <w:r w:rsidR="00284EC1" w:rsidRPr="00F87B27">
        <w:rPr>
          <w:rFonts w:asciiTheme="minorHAnsi" w:hAnsiTheme="minorHAnsi" w:cstheme="minorHAnsi"/>
          <w:color w:val="002855"/>
          <w:sz w:val="21"/>
          <w:szCs w:val="21"/>
        </w:rPr>
        <w:t xml:space="preserve">sexual </w:t>
      </w:r>
      <w:proofErr w:type="spellStart"/>
      <w:r w:rsidR="00284EC1" w:rsidRPr="00F87B27">
        <w:rPr>
          <w:rFonts w:asciiTheme="minorHAnsi" w:hAnsiTheme="minorHAnsi" w:cstheme="minorHAnsi"/>
          <w:color w:val="002855"/>
          <w:sz w:val="21"/>
          <w:szCs w:val="21"/>
        </w:rPr>
        <w:t>behaviour</w:t>
      </w:r>
      <w:proofErr w:type="spellEnd"/>
      <w:r w:rsidR="00284EC1" w:rsidRPr="00F87B27">
        <w:rPr>
          <w:rFonts w:asciiTheme="minorHAnsi" w:hAnsiTheme="minorHAnsi" w:cstheme="minorHAnsi"/>
          <w:color w:val="002855"/>
          <w:sz w:val="21"/>
          <w:szCs w:val="21"/>
        </w:rPr>
        <w:t xml:space="preserve"> assessment and planning framework</w:t>
      </w:r>
      <w:r w:rsidR="00D91360">
        <w:rPr>
          <w:rFonts w:asciiTheme="minorHAnsi" w:hAnsiTheme="minorHAnsi" w:cstheme="minorHAnsi"/>
          <w:color w:val="002855"/>
          <w:sz w:val="21"/>
          <w:szCs w:val="21"/>
        </w:rPr>
        <w:t>’</w:t>
      </w:r>
      <w:r w:rsidRPr="00F87B27">
        <w:rPr>
          <w:rFonts w:asciiTheme="minorHAnsi" w:hAnsiTheme="minorHAnsi" w:cstheme="minorHAnsi"/>
          <w:color w:val="002855"/>
          <w:sz w:val="21"/>
          <w:szCs w:val="21"/>
        </w:rPr>
        <w:t>.</w:t>
      </w:r>
    </w:p>
    <w:tbl>
      <w:tblPr>
        <w:tblStyle w:val="TableGrid"/>
        <w:tblW w:w="0" w:type="auto"/>
        <w:tblInd w:w="-5" w:type="dxa"/>
        <w:tblLook w:val="04A0" w:firstRow="1" w:lastRow="0" w:firstColumn="1" w:lastColumn="0" w:noHBand="0" w:noVBand="1"/>
      </w:tblPr>
      <w:tblGrid>
        <w:gridCol w:w="3166"/>
        <w:gridCol w:w="3166"/>
        <w:gridCol w:w="3166"/>
      </w:tblGrid>
      <w:tr w:rsidR="001D2515" w:rsidRPr="00F87B27" w14:paraId="62952715" w14:textId="77777777" w:rsidTr="001D2515">
        <w:tc>
          <w:tcPr>
            <w:tcW w:w="3166" w:type="dxa"/>
            <w:tcBorders>
              <w:top w:val="single" w:sz="4" w:space="0" w:color="auto"/>
              <w:left w:val="single" w:sz="4" w:space="0" w:color="auto"/>
              <w:bottom w:val="single" w:sz="4" w:space="0" w:color="auto"/>
              <w:right w:val="single" w:sz="4" w:space="0" w:color="auto"/>
            </w:tcBorders>
            <w:shd w:val="clear" w:color="auto" w:fill="DADADA"/>
            <w:hideMark/>
          </w:tcPr>
          <w:p w14:paraId="5BBC583E" w14:textId="6C898A35" w:rsidR="001D2515" w:rsidRPr="00F87B27" w:rsidRDefault="00F87B27">
            <w:pPr>
              <w:spacing w:before="120" w:after="120" w:line="264" w:lineRule="auto"/>
              <w:rPr>
                <w:rFonts w:asciiTheme="minorHAnsi" w:hAnsiTheme="minorHAnsi" w:cstheme="minorHAnsi"/>
                <w:b/>
                <w:bCs/>
                <w:sz w:val="21"/>
                <w:szCs w:val="21"/>
              </w:rPr>
            </w:pPr>
            <w:r w:rsidRPr="00F87B27">
              <w:rPr>
                <w:rFonts w:asciiTheme="minorHAnsi" w:hAnsiTheme="minorHAnsi" w:cstheme="minorHAnsi"/>
                <w:b/>
                <w:bCs/>
                <w:sz w:val="21"/>
                <w:szCs w:val="21"/>
              </w:rPr>
              <w:t>What are we worried about?</w:t>
            </w:r>
          </w:p>
        </w:tc>
        <w:tc>
          <w:tcPr>
            <w:tcW w:w="3166" w:type="dxa"/>
            <w:tcBorders>
              <w:top w:val="single" w:sz="4" w:space="0" w:color="auto"/>
              <w:left w:val="single" w:sz="4" w:space="0" w:color="auto"/>
              <w:bottom w:val="single" w:sz="4" w:space="0" w:color="auto"/>
              <w:right w:val="single" w:sz="4" w:space="0" w:color="auto"/>
            </w:tcBorders>
            <w:shd w:val="clear" w:color="auto" w:fill="DADADA"/>
            <w:hideMark/>
          </w:tcPr>
          <w:p w14:paraId="63922474" w14:textId="26BBEE38" w:rsidR="001D2515" w:rsidRPr="00F87B27" w:rsidRDefault="00F87B27">
            <w:pPr>
              <w:spacing w:before="120" w:after="120" w:line="264" w:lineRule="auto"/>
              <w:rPr>
                <w:rFonts w:asciiTheme="minorHAnsi" w:hAnsiTheme="minorHAnsi" w:cstheme="minorHAnsi"/>
                <w:b/>
                <w:bCs/>
                <w:sz w:val="21"/>
                <w:szCs w:val="21"/>
              </w:rPr>
            </w:pPr>
            <w:r w:rsidRPr="00F87B27">
              <w:rPr>
                <w:rFonts w:asciiTheme="minorHAnsi" w:hAnsiTheme="minorHAnsi" w:cstheme="minorHAnsi"/>
                <w:b/>
                <w:bCs/>
                <w:sz w:val="21"/>
                <w:szCs w:val="21"/>
              </w:rPr>
              <w:t>What’s working well?</w:t>
            </w:r>
          </w:p>
        </w:tc>
        <w:tc>
          <w:tcPr>
            <w:tcW w:w="3166" w:type="dxa"/>
            <w:tcBorders>
              <w:top w:val="single" w:sz="4" w:space="0" w:color="auto"/>
              <w:left w:val="single" w:sz="4" w:space="0" w:color="auto"/>
              <w:bottom w:val="single" w:sz="4" w:space="0" w:color="auto"/>
              <w:right w:val="single" w:sz="4" w:space="0" w:color="auto"/>
            </w:tcBorders>
            <w:shd w:val="clear" w:color="auto" w:fill="DADADA"/>
            <w:hideMark/>
          </w:tcPr>
          <w:p w14:paraId="788D5F7D" w14:textId="7424D070" w:rsidR="001D2515" w:rsidRPr="00F87B27" w:rsidRDefault="00F87B27">
            <w:pPr>
              <w:spacing w:before="120" w:after="120" w:line="264" w:lineRule="auto"/>
              <w:rPr>
                <w:rFonts w:asciiTheme="minorHAnsi" w:hAnsiTheme="minorHAnsi" w:cstheme="minorHAnsi"/>
                <w:b/>
                <w:bCs/>
                <w:sz w:val="21"/>
                <w:szCs w:val="21"/>
              </w:rPr>
            </w:pPr>
            <w:r w:rsidRPr="00F87B27">
              <w:rPr>
                <w:rFonts w:asciiTheme="minorHAnsi" w:hAnsiTheme="minorHAnsi" w:cstheme="minorHAnsi"/>
                <w:b/>
                <w:bCs/>
                <w:sz w:val="21"/>
                <w:szCs w:val="21"/>
              </w:rPr>
              <w:t>What needs to happen?</w:t>
            </w:r>
          </w:p>
        </w:tc>
      </w:tr>
      <w:tr w:rsidR="001D2515" w:rsidRPr="00F87B27" w14:paraId="0020C282" w14:textId="77777777" w:rsidTr="001D2515">
        <w:tc>
          <w:tcPr>
            <w:tcW w:w="3166" w:type="dxa"/>
            <w:tcBorders>
              <w:top w:val="single" w:sz="4" w:space="0" w:color="auto"/>
              <w:left w:val="single" w:sz="4" w:space="0" w:color="auto"/>
              <w:bottom w:val="single" w:sz="4" w:space="0" w:color="auto"/>
              <w:right w:val="single" w:sz="4" w:space="0" w:color="auto"/>
            </w:tcBorders>
            <w:hideMark/>
          </w:tcPr>
          <w:p w14:paraId="6FC1F72E" w14:textId="48F00419"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Concerning behaviour</w:t>
            </w:r>
          </w:p>
          <w:p w14:paraId="7F348503" w14:textId="24C2458A" w:rsidR="00F87B27" w:rsidRPr="00F87B27" w:rsidRDefault="00F87B27" w:rsidP="00F87B27">
            <w:pPr>
              <w:pStyle w:val="Pa14"/>
              <w:spacing w:before="80"/>
              <w:rPr>
                <w:rFonts w:asciiTheme="minorHAnsi" w:hAnsiTheme="minorHAnsi" w:cstheme="minorHAnsi"/>
                <w:color w:val="211D1E"/>
                <w:sz w:val="21"/>
                <w:szCs w:val="21"/>
              </w:rPr>
            </w:pPr>
            <w:r w:rsidRPr="00F87B27">
              <w:rPr>
                <w:rStyle w:val="A18"/>
                <w:rFonts w:asciiTheme="minorHAnsi" w:hAnsiTheme="minorHAnsi" w:cstheme="minorHAnsi"/>
                <w:sz w:val="21"/>
                <w:szCs w:val="21"/>
              </w:rPr>
              <w:t>The child or young person’s concerning or harmful sexual behaviour.</w:t>
            </w:r>
          </w:p>
          <w:p w14:paraId="1CDFB41C" w14:textId="3ADA105E"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Biggest worry</w:t>
            </w:r>
          </w:p>
          <w:p w14:paraId="4D0D5EED" w14:textId="174DF525" w:rsidR="00F87B27" w:rsidRPr="00F87B27" w:rsidRDefault="00F87B27" w:rsidP="00F87B27">
            <w:pPr>
              <w:pStyle w:val="Pa14"/>
              <w:spacing w:before="80"/>
              <w:rPr>
                <w:rFonts w:asciiTheme="minorHAnsi" w:hAnsiTheme="minorHAnsi" w:cstheme="minorHAnsi"/>
                <w:color w:val="211D1E"/>
                <w:sz w:val="21"/>
                <w:szCs w:val="21"/>
              </w:rPr>
            </w:pPr>
            <w:r w:rsidRPr="00F87B27">
              <w:rPr>
                <w:rStyle w:val="A18"/>
                <w:rFonts w:asciiTheme="minorHAnsi" w:hAnsiTheme="minorHAnsi" w:cstheme="minorHAnsi"/>
                <w:sz w:val="21"/>
                <w:szCs w:val="21"/>
              </w:rPr>
              <w:t>The worst things that could realistically happen if nothing changes and the concerning or harmful sexual behaviour continues.</w:t>
            </w:r>
          </w:p>
          <w:p w14:paraId="14FF9240" w14:textId="5AB2C575"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Complicating factors</w:t>
            </w:r>
          </w:p>
          <w:p w14:paraId="120F44F1" w14:textId="5D74556D" w:rsidR="001D2515" w:rsidRPr="00F87B27" w:rsidRDefault="00F87B27" w:rsidP="00F87B27">
            <w:pPr>
              <w:spacing w:before="120" w:after="120" w:line="264" w:lineRule="auto"/>
              <w:ind w:left="37"/>
              <w:rPr>
                <w:rFonts w:asciiTheme="minorHAnsi" w:hAnsiTheme="minorHAnsi" w:cstheme="minorHAnsi"/>
                <w:sz w:val="21"/>
                <w:szCs w:val="21"/>
              </w:rPr>
            </w:pPr>
            <w:r w:rsidRPr="00F87B27">
              <w:rPr>
                <w:rStyle w:val="A18"/>
                <w:rFonts w:asciiTheme="minorHAnsi" w:hAnsiTheme="minorHAnsi" w:cstheme="minorHAnsi"/>
                <w:sz w:val="21"/>
                <w:szCs w:val="21"/>
              </w:rPr>
              <w:t xml:space="preserve">Things that make the problems more difficult to deal with. </w:t>
            </w:r>
          </w:p>
        </w:tc>
        <w:tc>
          <w:tcPr>
            <w:tcW w:w="3166" w:type="dxa"/>
            <w:tcBorders>
              <w:top w:val="single" w:sz="4" w:space="0" w:color="auto"/>
              <w:left w:val="single" w:sz="4" w:space="0" w:color="auto"/>
              <w:bottom w:val="single" w:sz="4" w:space="0" w:color="auto"/>
              <w:right w:val="single" w:sz="4" w:space="0" w:color="auto"/>
            </w:tcBorders>
            <w:hideMark/>
          </w:tcPr>
          <w:p w14:paraId="439910DF" w14:textId="4BF28258"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Strengths</w:t>
            </w:r>
          </w:p>
          <w:p w14:paraId="62290184" w14:textId="49A63276" w:rsidR="00F87B27" w:rsidRPr="00F87B27" w:rsidRDefault="00F87B27" w:rsidP="00F87B27">
            <w:pPr>
              <w:pStyle w:val="Pa14"/>
              <w:spacing w:before="80"/>
              <w:rPr>
                <w:rFonts w:asciiTheme="minorHAnsi" w:hAnsiTheme="minorHAnsi" w:cstheme="minorHAnsi"/>
                <w:color w:val="211D1E"/>
                <w:sz w:val="21"/>
                <w:szCs w:val="21"/>
              </w:rPr>
            </w:pPr>
            <w:r w:rsidRPr="00F87B27">
              <w:rPr>
                <w:rStyle w:val="A18"/>
                <w:rFonts w:asciiTheme="minorHAnsi" w:hAnsiTheme="minorHAnsi" w:cstheme="minorHAnsi"/>
                <w:sz w:val="21"/>
                <w:szCs w:val="21"/>
              </w:rPr>
              <w:t xml:space="preserve">The positive things about the </w:t>
            </w:r>
            <w:r>
              <w:rPr>
                <w:rStyle w:val="A18"/>
                <w:rFonts w:asciiTheme="minorHAnsi" w:hAnsiTheme="minorHAnsi" w:cstheme="minorHAnsi"/>
                <w:sz w:val="21"/>
                <w:szCs w:val="21"/>
              </w:rPr>
              <w:br/>
            </w:r>
            <w:r w:rsidRPr="00F87B27">
              <w:rPr>
                <w:rStyle w:val="A18"/>
                <w:rFonts w:asciiTheme="minorHAnsi" w:hAnsiTheme="minorHAnsi" w:cstheme="minorHAnsi"/>
                <w:sz w:val="21"/>
                <w:szCs w:val="21"/>
              </w:rPr>
              <w:t>child or young person, and their life in the education or care setting, with friends, family and people around them.</w:t>
            </w:r>
          </w:p>
          <w:p w14:paraId="5A2C223B" w14:textId="423D6DB3"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 xml:space="preserve">Existing healthy sexual </w:t>
            </w:r>
            <w:r>
              <w:rPr>
                <w:rStyle w:val="A18"/>
                <w:rFonts w:asciiTheme="minorHAnsi" w:hAnsiTheme="minorHAnsi" w:cstheme="minorHAnsi"/>
                <w:b/>
                <w:bCs/>
                <w:sz w:val="21"/>
                <w:szCs w:val="21"/>
              </w:rPr>
              <w:br/>
            </w:r>
            <w:r w:rsidRPr="00F87B27">
              <w:rPr>
                <w:rStyle w:val="A18"/>
                <w:rFonts w:asciiTheme="minorHAnsi" w:hAnsiTheme="minorHAnsi" w:cstheme="minorHAnsi"/>
                <w:b/>
                <w:bCs/>
                <w:sz w:val="21"/>
                <w:szCs w:val="21"/>
              </w:rPr>
              <w:t>behaviour</w:t>
            </w:r>
          </w:p>
          <w:p w14:paraId="20717F6D" w14:textId="79F49265" w:rsidR="001D2515" w:rsidRPr="00F87B27" w:rsidRDefault="00F87B27" w:rsidP="00F87B27">
            <w:pPr>
              <w:spacing w:before="120" w:after="120" w:line="264" w:lineRule="auto"/>
              <w:rPr>
                <w:rFonts w:asciiTheme="minorHAnsi" w:hAnsiTheme="minorHAnsi" w:cstheme="minorHAnsi"/>
                <w:sz w:val="21"/>
                <w:szCs w:val="21"/>
              </w:rPr>
            </w:pPr>
            <w:r w:rsidRPr="00F87B27">
              <w:rPr>
                <w:rStyle w:val="A18"/>
                <w:rFonts w:asciiTheme="minorHAnsi" w:hAnsiTheme="minorHAnsi" w:cstheme="minorHAnsi"/>
                <w:sz w:val="21"/>
                <w:szCs w:val="21"/>
              </w:rPr>
              <w:t>Times when the child or young person could have acted in concerning or harmful ways, but this didn’t happen.</w:t>
            </w:r>
          </w:p>
        </w:tc>
        <w:tc>
          <w:tcPr>
            <w:tcW w:w="3166" w:type="dxa"/>
            <w:tcBorders>
              <w:top w:val="single" w:sz="4" w:space="0" w:color="auto"/>
              <w:left w:val="single" w:sz="4" w:space="0" w:color="auto"/>
              <w:bottom w:val="single" w:sz="4" w:space="0" w:color="auto"/>
              <w:right w:val="single" w:sz="4" w:space="0" w:color="auto"/>
            </w:tcBorders>
            <w:hideMark/>
          </w:tcPr>
          <w:p w14:paraId="7B816D3B" w14:textId="1EEB4186"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Healthy sexual behaviour goal</w:t>
            </w:r>
          </w:p>
          <w:p w14:paraId="2F486D31" w14:textId="77777777" w:rsidR="00F87B27" w:rsidRPr="00F87B27" w:rsidRDefault="00F87B27" w:rsidP="00F87B27">
            <w:pPr>
              <w:pStyle w:val="Pa14"/>
              <w:spacing w:before="80"/>
              <w:rPr>
                <w:rFonts w:asciiTheme="minorHAnsi" w:hAnsiTheme="minorHAnsi" w:cstheme="minorHAnsi"/>
                <w:color w:val="211D1E"/>
                <w:sz w:val="21"/>
                <w:szCs w:val="21"/>
              </w:rPr>
            </w:pPr>
            <w:r w:rsidRPr="00F87B27">
              <w:rPr>
                <w:rStyle w:val="A18"/>
                <w:rFonts w:asciiTheme="minorHAnsi" w:hAnsiTheme="minorHAnsi" w:cstheme="minorHAnsi"/>
                <w:sz w:val="21"/>
                <w:szCs w:val="21"/>
              </w:rPr>
              <w:t xml:space="preserve">The behaviours and actions that will satisfy everyone that the child or young person’s sexual behaviour is appropriate and healthy. </w:t>
            </w:r>
          </w:p>
          <w:p w14:paraId="0891B4EA" w14:textId="5ED14FB2" w:rsidR="00F87B27" w:rsidRPr="00F87B27" w:rsidRDefault="00F87B27" w:rsidP="00F87B27">
            <w:pPr>
              <w:pStyle w:val="Pa2"/>
              <w:spacing w:before="100"/>
              <w:rPr>
                <w:rFonts w:asciiTheme="minorHAnsi" w:hAnsiTheme="minorHAnsi" w:cstheme="minorHAnsi"/>
                <w:color w:val="211D1E"/>
                <w:sz w:val="21"/>
                <w:szCs w:val="21"/>
              </w:rPr>
            </w:pPr>
            <w:r w:rsidRPr="00F87B27">
              <w:rPr>
                <w:rStyle w:val="A18"/>
                <w:rFonts w:asciiTheme="minorHAnsi" w:hAnsiTheme="minorHAnsi" w:cstheme="minorHAnsi"/>
                <w:b/>
                <w:bCs/>
                <w:sz w:val="21"/>
                <w:szCs w:val="21"/>
              </w:rPr>
              <w:t>Next steps</w:t>
            </w:r>
          </w:p>
          <w:p w14:paraId="4BEDE2C0" w14:textId="2B7FC759" w:rsidR="00F87B27" w:rsidRPr="00F87B27" w:rsidRDefault="00F87B27" w:rsidP="00F87B27">
            <w:pPr>
              <w:spacing w:before="120" w:after="120" w:line="264" w:lineRule="auto"/>
              <w:rPr>
                <w:rFonts w:asciiTheme="minorHAnsi" w:hAnsiTheme="minorHAnsi" w:cstheme="minorHAnsi"/>
                <w:sz w:val="21"/>
                <w:szCs w:val="21"/>
              </w:rPr>
            </w:pPr>
            <w:r w:rsidRPr="00F87B27">
              <w:rPr>
                <w:rStyle w:val="A18"/>
                <w:rFonts w:asciiTheme="minorHAnsi" w:hAnsiTheme="minorHAnsi" w:cstheme="minorHAnsi"/>
                <w:sz w:val="21"/>
                <w:szCs w:val="21"/>
              </w:rPr>
              <w:t xml:space="preserve">Smallest next steps to move things forward toward the goal. </w:t>
            </w:r>
          </w:p>
        </w:tc>
      </w:tr>
    </w:tbl>
    <w:p w14:paraId="3BA4BD3C" w14:textId="088DE1BA" w:rsidR="000764E0" w:rsidRDefault="000764E0" w:rsidP="000E4FAD">
      <w:pPr>
        <w:pStyle w:val="BodyText"/>
        <w:spacing w:before="120" w:after="180"/>
        <w:rPr>
          <w:rFonts w:asciiTheme="minorHAnsi" w:hAnsiTheme="minorHAnsi" w:cstheme="minorHAnsi"/>
          <w:color w:val="002855"/>
          <w:sz w:val="21"/>
          <w:szCs w:val="21"/>
        </w:rPr>
      </w:pPr>
    </w:p>
    <w:tbl>
      <w:tblPr>
        <w:tblStyle w:val="TableGrid"/>
        <w:tblW w:w="0" w:type="auto"/>
        <w:tblLook w:val="04A0" w:firstRow="1" w:lastRow="0" w:firstColumn="1" w:lastColumn="0" w:noHBand="0" w:noVBand="1"/>
      </w:tblPr>
      <w:tblGrid>
        <w:gridCol w:w="962"/>
        <w:gridCol w:w="962"/>
        <w:gridCol w:w="962"/>
        <w:gridCol w:w="962"/>
        <w:gridCol w:w="962"/>
        <w:gridCol w:w="962"/>
        <w:gridCol w:w="962"/>
        <w:gridCol w:w="963"/>
        <w:gridCol w:w="963"/>
        <w:gridCol w:w="963"/>
      </w:tblGrid>
      <w:tr w:rsidR="000764E0" w14:paraId="3A6B19F0" w14:textId="77777777" w:rsidTr="000764E0">
        <w:tc>
          <w:tcPr>
            <w:tcW w:w="962" w:type="dxa"/>
          </w:tcPr>
          <w:p w14:paraId="0A473D6E" w14:textId="39CEDE89"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1</w:t>
            </w:r>
          </w:p>
        </w:tc>
        <w:tc>
          <w:tcPr>
            <w:tcW w:w="962" w:type="dxa"/>
          </w:tcPr>
          <w:p w14:paraId="6A0C4D6C" w14:textId="503BF926"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2</w:t>
            </w:r>
          </w:p>
        </w:tc>
        <w:tc>
          <w:tcPr>
            <w:tcW w:w="962" w:type="dxa"/>
          </w:tcPr>
          <w:p w14:paraId="7503055E" w14:textId="27D1F64E"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3</w:t>
            </w:r>
          </w:p>
        </w:tc>
        <w:tc>
          <w:tcPr>
            <w:tcW w:w="962" w:type="dxa"/>
          </w:tcPr>
          <w:p w14:paraId="0FF1DEE3" w14:textId="3CE2DD76"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4</w:t>
            </w:r>
          </w:p>
        </w:tc>
        <w:tc>
          <w:tcPr>
            <w:tcW w:w="962" w:type="dxa"/>
          </w:tcPr>
          <w:p w14:paraId="4D006821" w14:textId="6656CA83"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5</w:t>
            </w:r>
          </w:p>
        </w:tc>
        <w:tc>
          <w:tcPr>
            <w:tcW w:w="962" w:type="dxa"/>
          </w:tcPr>
          <w:p w14:paraId="23A7A6A3" w14:textId="2AA3EAD8"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6</w:t>
            </w:r>
          </w:p>
        </w:tc>
        <w:tc>
          <w:tcPr>
            <w:tcW w:w="962" w:type="dxa"/>
          </w:tcPr>
          <w:p w14:paraId="71B07D39" w14:textId="6D751F7B"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7</w:t>
            </w:r>
          </w:p>
        </w:tc>
        <w:tc>
          <w:tcPr>
            <w:tcW w:w="963" w:type="dxa"/>
          </w:tcPr>
          <w:p w14:paraId="1AC0F4E3" w14:textId="4145A8AC"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8</w:t>
            </w:r>
          </w:p>
        </w:tc>
        <w:tc>
          <w:tcPr>
            <w:tcW w:w="963" w:type="dxa"/>
          </w:tcPr>
          <w:p w14:paraId="777F61A2" w14:textId="2864930C"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9</w:t>
            </w:r>
          </w:p>
        </w:tc>
        <w:tc>
          <w:tcPr>
            <w:tcW w:w="963" w:type="dxa"/>
          </w:tcPr>
          <w:p w14:paraId="6CD17464" w14:textId="3BF18418" w:rsidR="000764E0" w:rsidRDefault="000764E0" w:rsidP="000764E0">
            <w:pPr>
              <w:pStyle w:val="BodyText"/>
              <w:spacing w:before="120" w:after="180"/>
              <w:jc w:val="center"/>
              <w:rPr>
                <w:rFonts w:asciiTheme="minorHAnsi" w:hAnsiTheme="minorHAnsi" w:cstheme="minorHAnsi"/>
                <w:color w:val="002855"/>
                <w:sz w:val="21"/>
                <w:szCs w:val="21"/>
              </w:rPr>
            </w:pPr>
            <w:r>
              <w:rPr>
                <w:rFonts w:asciiTheme="minorHAnsi" w:hAnsiTheme="minorHAnsi" w:cstheme="minorHAnsi"/>
                <w:color w:val="002855"/>
                <w:sz w:val="21"/>
                <w:szCs w:val="21"/>
              </w:rPr>
              <w:t>10</w:t>
            </w:r>
          </w:p>
        </w:tc>
      </w:tr>
    </w:tbl>
    <w:p w14:paraId="7AA026DB" w14:textId="77777777" w:rsidR="000764E0" w:rsidRDefault="000764E0" w:rsidP="000764E0">
      <w:pPr>
        <w:pStyle w:val="BodyText"/>
        <w:spacing w:before="120" w:after="180"/>
        <w:rPr>
          <w:rFonts w:asciiTheme="minorHAnsi" w:hAnsiTheme="minorHAnsi" w:cstheme="minorHAnsi"/>
          <w:color w:val="auto"/>
          <w:sz w:val="21"/>
          <w:szCs w:val="21"/>
        </w:rPr>
      </w:pPr>
    </w:p>
    <w:p w14:paraId="1D5DE3B3" w14:textId="46E3565E" w:rsidR="000764E0" w:rsidRPr="000764E0" w:rsidRDefault="000764E0" w:rsidP="000764E0">
      <w:pPr>
        <w:pStyle w:val="BodyText"/>
        <w:spacing w:before="120" w:after="180"/>
        <w:rPr>
          <w:rFonts w:asciiTheme="minorHAnsi" w:hAnsiTheme="minorHAnsi" w:cstheme="minorHAnsi"/>
          <w:color w:val="auto"/>
          <w:sz w:val="21"/>
          <w:szCs w:val="21"/>
        </w:rPr>
      </w:pPr>
      <w:r w:rsidRPr="000764E0">
        <w:rPr>
          <w:rFonts w:asciiTheme="minorHAnsi" w:hAnsiTheme="minorHAnsi" w:cstheme="minorHAnsi"/>
          <w:color w:val="auto"/>
          <w:sz w:val="21"/>
          <w:szCs w:val="21"/>
        </w:rPr>
        <w:t xml:space="preserve">On a scale of 0 to 10, where would you rate the situation right now? 10 means there’s a good plan that the child or young person, their parents, educators or care providers and relevant others have been involved in creating and agreed to, and the plan is working to make sure the concerning or harmful sexual </w:t>
      </w:r>
      <w:proofErr w:type="spellStart"/>
      <w:r w:rsidRPr="000764E0">
        <w:rPr>
          <w:rFonts w:asciiTheme="minorHAnsi" w:hAnsiTheme="minorHAnsi" w:cstheme="minorHAnsi"/>
          <w:color w:val="auto"/>
          <w:sz w:val="21"/>
          <w:szCs w:val="21"/>
        </w:rPr>
        <w:t>behaviour</w:t>
      </w:r>
      <w:proofErr w:type="spellEnd"/>
      <w:r w:rsidRPr="000764E0">
        <w:rPr>
          <w:rFonts w:asciiTheme="minorHAnsi" w:hAnsiTheme="minorHAnsi" w:cstheme="minorHAnsi"/>
          <w:color w:val="auto"/>
          <w:sz w:val="21"/>
          <w:szCs w:val="21"/>
        </w:rPr>
        <w:t xml:space="preserve"> won’t happen again. 0 means there is no agreed plan and people are worried the concerning or harmful sexual </w:t>
      </w:r>
      <w:proofErr w:type="spellStart"/>
      <w:r w:rsidRPr="000764E0">
        <w:rPr>
          <w:rFonts w:asciiTheme="minorHAnsi" w:hAnsiTheme="minorHAnsi" w:cstheme="minorHAnsi"/>
          <w:color w:val="auto"/>
          <w:sz w:val="21"/>
          <w:szCs w:val="21"/>
        </w:rPr>
        <w:t>behaviour</w:t>
      </w:r>
      <w:proofErr w:type="spellEnd"/>
      <w:r w:rsidRPr="000764E0">
        <w:rPr>
          <w:rFonts w:asciiTheme="minorHAnsi" w:hAnsiTheme="minorHAnsi" w:cstheme="minorHAnsi"/>
          <w:color w:val="auto"/>
          <w:sz w:val="21"/>
          <w:szCs w:val="21"/>
        </w:rPr>
        <w:t xml:space="preserve"> will happen again. Record the different ratings of each person involved at the appropriate point on the scaling line together with their name beside their number. Next time you meet, consider if the ratings have changed.</w:t>
      </w:r>
    </w:p>
    <w:sectPr w:rsidR="000764E0" w:rsidRPr="000764E0" w:rsidSect="00D016EC">
      <w:headerReference w:type="even" r:id="rId9"/>
      <w:headerReference w:type="default" r:id="rId10"/>
      <w:footerReference w:type="even" r:id="rId11"/>
      <w:footerReference w:type="default" r:id="rId12"/>
      <w:headerReference w:type="first" r:id="rId13"/>
      <w:footerReference w:type="first" r:id="rId14"/>
      <w:type w:val="continuous"/>
      <w:pgSz w:w="11901" w:h="16840"/>
      <w:pgMar w:top="1134" w:right="1134" w:bottom="1134" w:left="1134" w:header="720" w:footer="65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76C1" w14:textId="77777777" w:rsidR="008B219E" w:rsidRDefault="008B219E" w:rsidP="00151F67">
      <w:r>
        <w:separator/>
      </w:r>
    </w:p>
  </w:endnote>
  <w:endnote w:type="continuationSeparator" w:id="0">
    <w:p w14:paraId="2B81E0D1" w14:textId="77777777" w:rsidR="008B219E" w:rsidRDefault="008B219E" w:rsidP="0015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useo Sans 700">
    <w:altName w:val="Calibri"/>
    <w:panose1 w:val="00000000000000000000"/>
    <w:charset w:val="4D"/>
    <w:family w:val="auto"/>
    <w:notTrueType/>
    <w:pitch w:val="variable"/>
    <w:sig w:usb0="A00000AF" w:usb1="4000004A" w:usb2="00000000" w:usb3="00000000" w:csb0="00000093" w:csb1="00000000"/>
  </w:font>
  <w:font w:name="Museo Sans 300">
    <w:altName w:val="Museo Sans 300"/>
    <w:panose1 w:val="00000000000000000000"/>
    <w:charset w:val="4D"/>
    <w:family w:val="auto"/>
    <w:notTrueType/>
    <w:pitch w:val="variable"/>
    <w:sig w:usb0="A00000AF" w:usb1="4000004A" w:usb2="00000000" w:usb3="00000000" w:csb0="00000093" w:csb1="00000000"/>
  </w:font>
  <w:font w:name="DINPro-Light">
    <w:altName w:val="Arial"/>
    <w:panose1 w:val="00000000000000000000"/>
    <w:charset w:val="00"/>
    <w:family w:val="auto"/>
    <w:notTrueType/>
    <w:pitch w:val="variable"/>
    <w:sig w:usb0="800002AF" w:usb1="4000206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FC82" w14:textId="77777777" w:rsidR="000764E0" w:rsidRDefault="000764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37BD" w14:textId="77777777" w:rsidR="000764E0" w:rsidRPr="00794106" w:rsidRDefault="000764E0" w:rsidP="000764E0">
    <w:pPr>
      <w:pStyle w:val="BodyText"/>
      <w:spacing w:before="120" w:after="120"/>
      <w:rPr>
        <w:rFonts w:asciiTheme="minorHAnsi" w:hAnsiTheme="minorHAnsi" w:cstheme="minorHAnsi"/>
        <w:sz w:val="16"/>
        <w:szCs w:val="16"/>
      </w:rPr>
    </w:pPr>
    <w:r w:rsidRPr="00F87B27">
      <w:rPr>
        <w:rFonts w:asciiTheme="minorHAnsi" w:hAnsiTheme="minorHAnsi" w:cstheme="minorHAnsi"/>
        <w:color w:val="000000" w:themeColor="text1"/>
        <w:sz w:val="16"/>
        <w:szCs w:val="16"/>
      </w:rPr>
      <w:t xml:space="preserve">The ‘signs of healthy sexual </w:t>
    </w:r>
    <w:proofErr w:type="spellStart"/>
    <w:r w:rsidRPr="00F87B27">
      <w:rPr>
        <w:rFonts w:asciiTheme="minorHAnsi" w:hAnsiTheme="minorHAnsi" w:cstheme="minorHAnsi"/>
        <w:color w:val="000000" w:themeColor="text1"/>
        <w:sz w:val="16"/>
        <w:szCs w:val="16"/>
      </w:rPr>
      <w:t>behaviour</w:t>
    </w:r>
    <w:proofErr w:type="spellEnd"/>
    <w:r w:rsidRPr="00F87B27">
      <w:rPr>
        <w:rFonts w:asciiTheme="minorHAnsi" w:hAnsiTheme="minorHAnsi" w:cstheme="minorHAnsi"/>
        <w:color w:val="000000" w:themeColor="text1"/>
        <w:sz w:val="16"/>
        <w:szCs w:val="16"/>
      </w:rPr>
      <w:t xml:space="preserve"> assessment and planning framework’ is adapted from the Signs of Safety®</w:t>
    </w:r>
    <w:r>
      <w:rPr>
        <w:rFonts w:asciiTheme="minorHAnsi" w:hAnsiTheme="minorHAnsi" w:cstheme="minorHAnsi"/>
        <w:color w:val="000000" w:themeColor="text1"/>
        <w:sz w:val="16"/>
        <w:szCs w:val="16"/>
      </w:rPr>
      <w:t xml:space="preserve"> </w:t>
    </w:r>
    <w:r w:rsidRPr="00F87B27">
      <w:rPr>
        <w:rFonts w:asciiTheme="minorHAnsi" w:hAnsiTheme="minorHAnsi" w:cstheme="minorHAnsi"/>
        <w:color w:val="000000" w:themeColor="text1"/>
        <w:sz w:val="16"/>
        <w:szCs w:val="16"/>
      </w:rPr>
      <w:t xml:space="preserve">child protection model. The ‘signs of healthy sexual </w:t>
    </w:r>
    <w:proofErr w:type="spellStart"/>
    <w:r w:rsidRPr="00F87B27">
      <w:rPr>
        <w:rFonts w:asciiTheme="minorHAnsi" w:hAnsiTheme="minorHAnsi" w:cstheme="minorHAnsi"/>
        <w:color w:val="000000" w:themeColor="text1"/>
        <w:sz w:val="16"/>
        <w:szCs w:val="16"/>
      </w:rPr>
      <w:t>behaviour</w:t>
    </w:r>
    <w:proofErr w:type="spellEnd"/>
    <w:r w:rsidRPr="00F87B27">
      <w:rPr>
        <w:rFonts w:asciiTheme="minorHAnsi" w:hAnsiTheme="minorHAnsi" w:cstheme="minorHAnsi"/>
        <w:color w:val="000000" w:themeColor="text1"/>
        <w:sz w:val="16"/>
        <w:szCs w:val="16"/>
      </w:rPr>
      <w:t>’ approach, analysis categories, example questions</w:t>
    </w:r>
    <w:r>
      <w:rPr>
        <w:rFonts w:asciiTheme="minorHAnsi" w:hAnsiTheme="minorHAnsi" w:cstheme="minorHAnsi"/>
        <w:color w:val="000000" w:themeColor="text1"/>
        <w:sz w:val="16"/>
        <w:szCs w:val="16"/>
      </w:rPr>
      <w:t xml:space="preserve"> </w:t>
    </w:r>
    <w:r w:rsidRPr="00F87B27">
      <w:rPr>
        <w:rFonts w:asciiTheme="minorHAnsi" w:hAnsiTheme="minorHAnsi" w:cstheme="minorHAnsi"/>
        <w:color w:val="000000" w:themeColor="text1"/>
        <w:sz w:val="16"/>
        <w:szCs w:val="16"/>
      </w:rPr>
      <w:t xml:space="preserve">and meeting guide are the proprietary intellectual property of Elia International and Andrew </w:t>
    </w:r>
    <w:proofErr w:type="spellStart"/>
    <w:r w:rsidRPr="00F87B27">
      <w:rPr>
        <w:rFonts w:asciiTheme="minorHAnsi" w:hAnsiTheme="minorHAnsi" w:cstheme="minorHAnsi"/>
        <w:color w:val="000000" w:themeColor="text1"/>
        <w:sz w:val="16"/>
        <w:szCs w:val="16"/>
      </w:rPr>
      <w:t>Turnell</w:t>
    </w:r>
    <w:proofErr w:type="spellEnd"/>
    <w:r w:rsidRPr="00F87B27">
      <w:rPr>
        <w:rFonts w:asciiTheme="minorHAnsi" w:hAnsiTheme="minorHAnsi" w:cstheme="minorHAnsi"/>
        <w:color w:val="000000" w:themeColor="text1"/>
        <w:sz w:val="16"/>
        <w:szCs w:val="16"/>
      </w:rPr>
      <w:t>. For use of this</w:t>
    </w:r>
    <w:r>
      <w:rPr>
        <w:rFonts w:asciiTheme="minorHAnsi" w:hAnsiTheme="minorHAnsi" w:cstheme="minorHAnsi"/>
        <w:color w:val="000000" w:themeColor="text1"/>
        <w:sz w:val="16"/>
        <w:szCs w:val="16"/>
      </w:rPr>
      <w:t xml:space="preserve"> </w:t>
    </w:r>
    <w:r w:rsidRPr="00F87B27">
      <w:rPr>
        <w:rFonts w:asciiTheme="minorHAnsi" w:hAnsiTheme="minorHAnsi" w:cstheme="minorHAnsi"/>
        <w:color w:val="000000" w:themeColor="text1"/>
        <w:sz w:val="16"/>
        <w:szCs w:val="16"/>
      </w:rPr>
      <w:t xml:space="preserve">intellectual property beyond the South Australian education system contact </w:t>
    </w:r>
    <w:hyperlink r:id="rId1" w:history="1">
      <w:r w:rsidRPr="009674CE">
        <w:rPr>
          <w:rStyle w:val="Hyperlink"/>
          <w:rFonts w:asciiTheme="minorHAnsi" w:hAnsiTheme="minorHAnsi" w:cstheme="minorHAnsi"/>
          <w:sz w:val="16"/>
          <w:szCs w:val="16"/>
        </w:rPr>
        <w:t>andrew@turnellplus.com.au</w:t>
      </w:r>
    </w:hyperlink>
    <w:r>
      <w:rPr>
        <w:rFonts w:asciiTheme="minorHAnsi" w:hAnsiTheme="minorHAnsi" w:cstheme="minorHAnsi"/>
        <w:color w:val="000000" w:themeColor="text1"/>
        <w:sz w:val="16"/>
        <w:szCs w:val="16"/>
      </w:rPr>
      <w:t xml:space="preserve">. </w:t>
    </w:r>
  </w:p>
  <w:p w14:paraId="42449F48" w14:textId="4B32E6E4" w:rsidR="00802A29" w:rsidRPr="00802A29" w:rsidRDefault="00802A29" w:rsidP="000A5D3D">
    <w:pPr>
      <w:pStyle w:val="Footer"/>
      <w:tabs>
        <w:tab w:val="clear" w:pos="9026"/>
        <w:tab w:val="right" w:pos="9498"/>
      </w:tabs>
      <w:spacing w:before="120" w:after="120" w:line="280" w:lineRule="atLeast"/>
      <w:rPr>
        <w:b/>
        <w:bCs/>
        <w:color w:val="002855"/>
        <w:sz w:val="20"/>
        <w:szCs w:val="20"/>
      </w:rPr>
    </w:pPr>
    <w:r w:rsidRPr="001F73ED">
      <w:rPr>
        <w:noProof/>
        <w:sz w:val="34"/>
        <w:szCs w:val="34"/>
      </w:rPr>
      <w:drawing>
        <wp:inline distT="0" distB="0" distL="0" distR="0" wp14:anchorId="0AEF9F41" wp14:editId="69724AD6">
          <wp:extent cx="6116959" cy="45719"/>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1894999" cy="88905"/>
                  </a:xfrm>
                  <a:prstGeom prst="rect">
                    <a:avLst/>
                  </a:prstGeom>
                </pic:spPr>
              </pic:pic>
            </a:graphicData>
          </a:graphic>
        </wp:inline>
      </w:drawing>
    </w:r>
    <w:r w:rsidR="00D016EC">
      <w:rPr>
        <w:b/>
        <w:bCs/>
        <w:color w:val="002855"/>
        <w:sz w:val="20"/>
        <w:szCs w:val="20"/>
      </w:rPr>
      <w:t xml:space="preserve">Sexual behaviour in children and young people </w:t>
    </w:r>
    <w:r w:rsidR="000764E0">
      <w:rPr>
        <w:color w:val="002855"/>
        <w:sz w:val="20"/>
        <w:szCs w:val="20"/>
      </w:rPr>
      <w:t>guideline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62C28" w14:textId="77777777" w:rsidR="000764E0" w:rsidRDefault="00076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BE9A8" w14:textId="77777777" w:rsidR="008B219E" w:rsidRDefault="008B219E" w:rsidP="00151F67">
      <w:r>
        <w:separator/>
      </w:r>
    </w:p>
  </w:footnote>
  <w:footnote w:type="continuationSeparator" w:id="0">
    <w:p w14:paraId="2AFE03B0" w14:textId="77777777" w:rsidR="008B219E" w:rsidRDefault="008B219E" w:rsidP="00151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8DF7" w14:textId="77777777" w:rsidR="000764E0" w:rsidRDefault="00076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1F210" w14:textId="77777777" w:rsidR="000764E0" w:rsidRDefault="00076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02FF" w14:textId="77777777" w:rsidR="000764E0" w:rsidRDefault="0007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6C24"/>
    <w:multiLevelType w:val="hybridMultilevel"/>
    <w:tmpl w:val="BB74E2C0"/>
    <w:lvl w:ilvl="0" w:tplc="B8E6F410">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0D50E6"/>
    <w:multiLevelType w:val="hybridMultilevel"/>
    <w:tmpl w:val="9E082BD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6C337B"/>
    <w:multiLevelType w:val="hybridMultilevel"/>
    <w:tmpl w:val="530EC8D8"/>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DB42B6"/>
    <w:multiLevelType w:val="hybridMultilevel"/>
    <w:tmpl w:val="12A20DBC"/>
    <w:lvl w:ilvl="0" w:tplc="C40CB89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1724AD"/>
    <w:multiLevelType w:val="hybridMultilevel"/>
    <w:tmpl w:val="86AAB5B4"/>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02810"/>
    <w:multiLevelType w:val="hybridMultilevel"/>
    <w:tmpl w:val="5C547846"/>
    <w:lvl w:ilvl="0" w:tplc="3E7A1A4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BE0EB7"/>
    <w:multiLevelType w:val="hybridMultilevel"/>
    <w:tmpl w:val="5DBC690A"/>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4EE7E2"/>
    <w:multiLevelType w:val="hybridMultilevel"/>
    <w:tmpl w:val="8CB2C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9465568"/>
    <w:multiLevelType w:val="hybridMultilevel"/>
    <w:tmpl w:val="AC583F90"/>
    <w:lvl w:ilvl="0" w:tplc="1220B09A">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7029FE"/>
    <w:multiLevelType w:val="hybridMultilevel"/>
    <w:tmpl w:val="4FE21A5C"/>
    <w:lvl w:ilvl="0" w:tplc="15F24824">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E9B2D84"/>
    <w:multiLevelType w:val="hybridMultilevel"/>
    <w:tmpl w:val="D3C853D6"/>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56F2A9F"/>
    <w:multiLevelType w:val="hybridMultilevel"/>
    <w:tmpl w:val="CE08AA52"/>
    <w:lvl w:ilvl="0" w:tplc="C6B6BDF4">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DF54CA"/>
    <w:multiLevelType w:val="hybridMultilevel"/>
    <w:tmpl w:val="4A8EA9BE"/>
    <w:lvl w:ilvl="0" w:tplc="A1D03EBE">
      <w:numFmt w:val="bullet"/>
      <w:lvlText w:val="•"/>
      <w:lvlJc w:val="left"/>
      <w:pPr>
        <w:ind w:left="720" w:hanging="360"/>
      </w:pPr>
      <w:rPr>
        <w:rFonts w:ascii="Calibri" w:eastAsia="MS Mincho"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8"/>
  </w:num>
  <w:num w:numId="5">
    <w:abstractNumId w:val="4"/>
  </w:num>
  <w:num w:numId="6">
    <w:abstractNumId w:val="0"/>
  </w:num>
  <w:num w:numId="7">
    <w:abstractNumId w:val="9"/>
  </w:num>
  <w:num w:numId="8">
    <w:abstractNumId w:val="12"/>
  </w:num>
  <w:num w:numId="9">
    <w:abstractNumId w:val="6"/>
  </w:num>
  <w:num w:numId="10">
    <w:abstractNumId w:val="11"/>
  </w:num>
  <w:num w:numId="11">
    <w:abstractNumId w:val="7"/>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95"/>
    <w:rsid w:val="00011090"/>
    <w:rsid w:val="00012BE6"/>
    <w:rsid w:val="00057395"/>
    <w:rsid w:val="00063EE7"/>
    <w:rsid w:val="000764E0"/>
    <w:rsid w:val="000A5D3D"/>
    <w:rsid w:val="000A7B6B"/>
    <w:rsid w:val="000E4FAD"/>
    <w:rsid w:val="000E67A4"/>
    <w:rsid w:val="00111EB8"/>
    <w:rsid w:val="00136CF6"/>
    <w:rsid w:val="0014649A"/>
    <w:rsid w:val="00151F67"/>
    <w:rsid w:val="00160DDF"/>
    <w:rsid w:val="001D2515"/>
    <w:rsid w:val="001D4859"/>
    <w:rsid w:val="001F73ED"/>
    <w:rsid w:val="002246EA"/>
    <w:rsid w:val="00284EC1"/>
    <w:rsid w:val="002F5384"/>
    <w:rsid w:val="00355A42"/>
    <w:rsid w:val="003D4BA5"/>
    <w:rsid w:val="004421F7"/>
    <w:rsid w:val="004E3092"/>
    <w:rsid w:val="00536EF4"/>
    <w:rsid w:val="005868FF"/>
    <w:rsid w:val="00597032"/>
    <w:rsid w:val="005E61CE"/>
    <w:rsid w:val="005F6C9C"/>
    <w:rsid w:val="006244B8"/>
    <w:rsid w:val="006325BC"/>
    <w:rsid w:val="00696D7A"/>
    <w:rsid w:val="00721B37"/>
    <w:rsid w:val="00794106"/>
    <w:rsid w:val="007A2516"/>
    <w:rsid w:val="007D6C1B"/>
    <w:rsid w:val="007E00A1"/>
    <w:rsid w:val="00800DE3"/>
    <w:rsid w:val="00802A29"/>
    <w:rsid w:val="008142F3"/>
    <w:rsid w:val="008211D4"/>
    <w:rsid w:val="00893C7C"/>
    <w:rsid w:val="008B219E"/>
    <w:rsid w:val="008D6125"/>
    <w:rsid w:val="008D6639"/>
    <w:rsid w:val="00936AED"/>
    <w:rsid w:val="00945635"/>
    <w:rsid w:val="009466C6"/>
    <w:rsid w:val="00951599"/>
    <w:rsid w:val="00962890"/>
    <w:rsid w:val="00A032B4"/>
    <w:rsid w:val="00A70710"/>
    <w:rsid w:val="00AA6005"/>
    <w:rsid w:val="00AE1F8C"/>
    <w:rsid w:val="00B1101D"/>
    <w:rsid w:val="00B2677B"/>
    <w:rsid w:val="00B42A7D"/>
    <w:rsid w:val="00BB533D"/>
    <w:rsid w:val="00C802D3"/>
    <w:rsid w:val="00C82D65"/>
    <w:rsid w:val="00CB0BC3"/>
    <w:rsid w:val="00CC660A"/>
    <w:rsid w:val="00CD3B17"/>
    <w:rsid w:val="00CD4F85"/>
    <w:rsid w:val="00CF30CF"/>
    <w:rsid w:val="00D016EC"/>
    <w:rsid w:val="00D8269D"/>
    <w:rsid w:val="00D91360"/>
    <w:rsid w:val="00DB35EB"/>
    <w:rsid w:val="00DD469E"/>
    <w:rsid w:val="00E117B6"/>
    <w:rsid w:val="00E161C3"/>
    <w:rsid w:val="00E2443E"/>
    <w:rsid w:val="00E62ACB"/>
    <w:rsid w:val="00EC709A"/>
    <w:rsid w:val="00EE1A36"/>
    <w:rsid w:val="00F87B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94D22"/>
  <w15:chartTrackingRefBased/>
  <w15:docId w15:val="{52AF922C-7E45-2A43-8951-91EB374D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Subheading">
    <w:name w:val="Level 2 - Sub heading"/>
    <w:basedOn w:val="Normal"/>
    <w:uiPriority w:val="99"/>
    <w:rsid w:val="00057395"/>
    <w:pPr>
      <w:pBdr>
        <w:bottom w:val="single" w:sz="16" w:space="6" w:color="A5FF19"/>
      </w:pBdr>
      <w:suppressAutoHyphens/>
      <w:autoSpaceDE w:val="0"/>
      <w:autoSpaceDN w:val="0"/>
      <w:adjustRightInd w:val="0"/>
      <w:spacing w:before="170" w:after="57" w:line="400" w:lineRule="atLeast"/>
      <w:textAlignment w:val="center"/>
    </w:pPr>
    <w:rPr>
      <w:rFonts w:ascii="Museo Sans 700" w:hAnsi="Museo Sans 700" w:cs="Museo Sans 700"/>
      <w:color w:val="000060"/>
      <w:sz w:val="34"/>
      <w:szCs w:val="34"/>
      <w:lang w:val="en-US"/>
    </w:rPr>
  </w:style>
  <w:style w:type="paragraph" w:styleId="BodyText">
    <w:name w:val="Body Text"/>
    <w:basedOn w:val="Normal"/>
    <w:link w:val="BodyTextChar"/>
    <w:uiPriority w:val="99"/>
    <w:rsid w:val="00057395"/>
    <w:pPr>
      <w:suppressAutoHyphens/>
      <w:autoSpaceDE w:val="0"/>
      <w:autoSpaceDN w:val="0"/>
      <w:adjustRightInd w:val="0"/>
      <w:spacing w:before="113" w:line="280" w:lineRule="atLeast"/>
      <w:textAlignment w:val="center"/>
    </w:pPr>
    <w:rPr>
      <w:rFonts w:ascii="Museo Sans 300" w:hAnsi="Museo Sans 300" w:cs="Museo Sans 300"/>
      <w:color w:val="000000"/>
      <w:sz w:val="22"/>
      <w:szCs w:val="22"/>
      <w:lang w:val="en-US"/>
    </w:rPr>
  </w:style>
  <w:style w:type="character" w:customStyle="1" w:styleId="BodyTextChar">
    <w:name w:val="Body Text Char"/>
    <w:basedOn w:val="DefaultParagraphFont"/>
    <w:link w:val="BodyText"/>
    <w:uiPriority w:val="99"/>
    <w:rsid w:val="00057395"/>
    <w:rPr>
      <w:rFonts w:ascii="Museo Sans 300" w:hAnsi="Museo Sans 300" w:cs="Museo Sans 300"/>
      <w:color w:val="000000"/>
      <w:sz w:val="22"/>
      <w:szCs w:val="22"/>
      <w:lang w:val="en-US"/>
    </w:rPr>
  </w:style>
  <w:style w:type="paragraph" w:customStyle="1" w:styleId="Level4-Subheading">
    <w:name w:val="Level 4 - Sub heading"/>
    <w:basedOn w:val="BodyText"/>
    <w:uiPriority w:val="99"/>
    <w:rsid w:val="00057395"/>
    <w:pPr>
      <w:spacing w:before="170" w:line="300" w:lineRule="atLeast"/>
    </w:pPr>
    <w:rPr>
      <w:rFonts w:ascii="Museo Sans 700" w:hAnsi="Museo Sans 700" w:cs="Museo Sans 700"/>
      <w:sz w:val="26"/>
      <w:szCs w:val="26"/>
    </w:rPr>
  </w:style>
  <w:style w:type="paragraph" w:styleId="Header">
    <w:name w:val="header"/>
    <w:basedOn w:val="Normal"/>
    <w:link w:val="HeaderChar"/>
    <w:uiPriority w:val="99"/>
    <w:unhideWhenUsed/>
    <w:rsid w:val="00151F67"/>
    <w:pPr>
      <w:tabs>
        <w:tab w:val="center" w:pos="4513"/>
        <w:tab w:val="right" w:pos="9026"/>
      </w:tabs>
    </w:pPr>
  </w:style>
  <w:style w:type="character" w:customStyle="1" w:styleId="HeaderChar">
    <w:name w:val="Header Char"/>
    <w:basedOn w:val="DefaultParagraphFont"/>
    <w:link w:val="Header"/>
    <w:uiPriority w:val="99"/>
    <w:rsid w:val="00151F67"/>
  </w:style>
  <w:style w:type="paragraph" w:styleId="Footer">
    <w:name w:val="footer"/>
    <w:basedOn w:val="Normal"/>
    <w:link w:val="FooterChar"/>
    <w:uiPriority w:val="99"/>
    <w:unhideWhenUsed/>
    <w:rsid w:val="00151F67"/>
    <w:pPr>
      <w:tabs>
        <w:tab w:val="center" w:pos="4513"/>
        <w:tab w:val="right" w:pos="9026"/>
      </w:tabs>
    </w:pPr>
  </w:style>
  <w:style w:type="character" w:customStyle="1" w:styleId="FooterChar">
    <w:name w:val="Footer Char"/>
    <w:basedOn w:val="DefaultParagraphFont"/>
    <w:link w:val="Footer"/>
    <w:uiPriority w:val="99"/>
    <w:rsid w:val="00151F67"/>
  </w:style>
  <w:style w:type="table" w:styleId="TableGrid">
    <w:name w:val="Table Grid"/>
    <w:basedOn w:val="TableNormal"/>
    <w:uiPriority w:val="59"/>
    <w:rsid w:val="00721B37"/>
    <w:rPr>
      <w:rFonts w:ascii="Calibri" w:eastAsia="MS Mincho" w:hAnsi="Calibri" w:cs="DINPro-Light"/>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1F7"/>
    <w:pPr>
      <w:ind w:left="720"/>
      <w:contextualSpacing/>
    </w:pPr>
  </w:style>
  <w:style w:type="paragraph" w:customStyle="1" w:styleId="Default">
    <w:name w:val="Default"/>
    <w:rsid w:val="00536EF4"/>
    <w:pPr>
      <w:autoSpaceDE w:val="0"/>
      <w:autoSpaceDN w:val="0"/>
      <w:adjustRightInd w:val="0"/>
    </w:pPr>
    <w:rPr>
      <w:rFonts w:ascii="Museo Sans 300" w:hAnsi="Museo Sans 300" w:cs="Museo Sans 300"/>
      <w:color w:val="000000"/>
    </w:rPr>
  </w:style>
  <w:style w:type="paragraph" w:customStyle="1" w:styleId="Pa2">
    <w:name w:val="Pa2"/>
    <w:basedOn w:val="Default"/>
    <w:next w:val="Default"/>
    <w:uiPriority w:val="99"/>
    <w:rsid w:val="00536EF4"/>
    <w:pPr>
      <w:spacing w:line="221" w:lineRule="atLeast"/>
    </w:pPr>
    <w:rPr>
      <w:rFonts w:cstheme="minorBidi"/>
      <w:color w:val="auto"/>
    </w:rPr>
  </w:style>
  <w:style w:type="character" w:styleId="Hyperlink">
    <w:name w:val="Hyperlink"/>
    <w:basedOn w:val="DefaultParagraphFont"/>
    <w:uiPriority w:val="99"/>
    <w:unhideWhenUsed/>
    <w:rsid w:val="005E61CE"/>
    <w:rPr>
      <w:color w:val="0563C1" w:themeColor="hyperlink"/>
      <w:u w:val="single"/>
    </w:rPr>
  </w:style>
  <w:style w:type="character" w:styleId="UnresolvedMention">
    <w:name w:val="Unresolved Mention"/>
    <w:basedOn w:val="DefaultParagraphFont"/>
    <w:uiPriority w:val="99"/>
    <w:semiHidden/>
    <w:unhideWhenUsed/>
    <w:rsid w:val="005E61CE"/>
    <w:rPr>
      <w:color w:val="605E5C"/>
      <w:shd w:val="clear" w:color="auto" w:fill="E1DFDD"/>
    </w:rPr>
  </w:style>
  <w:style w:type="character" w:customStyle="1" w:styleId="A18">
    <w:name w:val="A18"/>
    <w:uiPriority w:val="99"/>
    <w:rsid w:val="002F5384"/>
    <w:rPr>
      <w:rFonts w:cs="Museo Sans 300"/>
      <w:color w:val="211D1E"/>
      <w:sz w:val="20"/>
      <w:szCs w:val="20"/>
    </w:rPr>
  </w:style>
  <w:style w:type="paragraph" w:customStyle="1" w:styleId="Pa14">
    <w:name w:val="Pa14"/>
    <w:basedOn w:val="Default"/>
    <w:next w:val="Default"/>
    <w:uiPriority w:val="99"/>
    <w:rsid w:val="00F87B27"/>
    <w:pPr>
      <w:spacing w:line="221" w:lineRule="atLeast"/>
    </w:pPr>
    <w:rPr>
      <w:rFonts w:ascii="Museo Sans 700" w:hAnsi="Museo Sans 700"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670512">
      <w:bodyDiv w:val="1"/>
      <w:marLeft w:val="0"/>
      <w:marRight w:val="0"/>
      <w:marTop w:val="0"/>
      <w:marBottom w:val="0"/>
      <w:divBdr>
        <w:top w:val="none" w:sz="0" w:space="0" w:color="auto"/>
        <w:left w:val="none" w:sz="0" w:space="0" w:color="auto"/>
        <w:bottom w:val="none" w:sz="0" w:space="0" w:color="auto"/>
        <w:right w:val="none" w:sz="0" w:space="0" w:color="auto"/>
      </w:divBdr>
    </w:div>
    <w:div w:id="101117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customXml" Target="/customXML/item4.xml" Id="R7e1311ab41c647d2" /></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andrew@turnellplu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D257099907BF4AFDAA2E1AD3064833F5" version="1.0.0">
  <systemFields>
    <field name="Objective-Id">
      <value order="0">A8558051</value>
    </field>
    <field name="Objective-Title">
      <value order="0">Original - Signs of healthy sexual behviour assessment and planning framework</value>
    </field>
    <field name="Objective-Description">
      <value order="0"/>
    </field>
    <field name="Objective-CreationStamp">
      <value order="0">2022-07-26T05:45:47Z</value>
    </field>
    <field name="Objective-IsApproved">
      <value order="0">false</value>
    </field>
    <field name="Objective-IsPublished">
      <value order="0">false</value>
    </field>
    <field name="Objective-DatePublished">
      <value order="0"/>
    </field>
    <field name="Objective-ModificationStamp">
      <value order="0">2022-08-03T05:06:53Z</value>
    </field>
    <field name="Objective-Owner">
      <value order="0">Amanda Dey</value>
    </field>
    <field name="Objective-Path">
      <value order="0">Objective Global Folder:Department for Education:CHILD AND STUDENT WELLBEING:Operational Projects and Programs:Engagement and Wellbeing - Projects and Programs:Behaviour:2020 Problem Sexual Behaviour Procedure and Resources:Downloadable flowcharts, checklists &amp; templates</value>
    </field>
    <field name="Objective-Parent">
      <value order="0">Downloadable flowcharts, checklists &amp; templates</value>
    </field>
    <field name="Objective-State">
      <value order="0">Being Drafted</value>
    </field>
    <field name="Objective-VersionId">
      <value order="0">vA10661233</value>
    </field>
    <field name="Objective-Version">
      <value order="0">0.3</value>
    </field>
    <field name="Objective-VersionNumber">
      <value order="0">3</value>
    </field>
    <field name="Objective-VersionComment">
      <value order="0"/>
    </field>
    <field name="Objective-FileNumber">
      <value order="0">DE20/14121</value>
    </field>
    <field name="Objective-Classification">
      <value order="0"/>
    </field>
    <field name="Objective-Caveats">
      <value order="0"/>
    </field>
  </systemFields>
  <catalogues>
    <catalogue name="Standard Electronic Document Type Catalogue" type="type" ori="id:cA8">
      <field name="Objective-Business Unit">
        <value order="0">ENGAGEMENT AND WELLBEING DIRECTORATE</value>
      </field>
      <field name="Objective-Education Sites and Services">
        <value order="0"/>
      </field>
      <field name="Objective-Document Type">
        <value order="0">Dataset</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A5DA93B9-E474-3C49-91A5-2DFA74C24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Sexual behaviour in children and young people procedure appendices behaviour support plans</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Signs of healthy sexual behaviour assessment and planning frameword</dc:title>
  <dc:subject/>
  <dc:creator>Engagement and Wellbeing</dc:creator>
  <cp:keywords>signs of healthy sexual behaviour assessment and planning framework, assessment and planning framework, assessment and planning form, assessment and planning, signs of safety, sexual behaviour assessment, 3 column template, 3 column visual map, analysis categories</cp:keywords>
  <dc:description/>
  <cp:lastModifiedBy>Dey, Amanda (Education)</cp:lastModifiedBy>
  <cp:revision>15</cp:revision>
  <dcterms:created xsi:type="dcterms:W3CDTF">2022-07-26T05:45:00Z</dcterms:created>
  <dcterms:modified xsi:type="dcterms:W3CDTF">2022-08-03T04:40:00Z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A8558051</vt:lpwstr>
  </property>
  <property fmtid="{D5CDD505-2E9C-101B-9397-08002B2CF9AE}" pid="4" name="Objective-Title">
    <vt:lpwstr>Original - Signs of healthy sexual behviour assessment and planning framework</vt:lpwstr>
  </property>
  <property fmtid="{D5CDD505-2E9C-101B-9397-08002B2CF9AE}" pid="5" name="Objective-Description">
    <vt:lpwstr/>
  </property>
  <property fmtid="{D5CDD505-2E9C-101B-9397-08002B2CF9AE}" pid="6" name="Objective-CreationStamp">
    <vt:filetime>2022-07-26T05:45:47Z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2022-08-03T05:06:53Z</vt:filetime>
  </property>
  <property fmtid="{D5CDD505-2E9C-101B-9397-08002B2CF9AE}" pid="11" name="Objective-Owner">
    <vt:lpwstr>Amanda Dey</vt:lpwstr>
  </property>
  <property fmtid="{D5CDD505-2E9C-101B-9397-08002B2CF9AE}" pid="12" name="Objective-Path">
    <vt:lpwstr>Objective Global Folder:Department for Education:CHILD AND STUDENT WELLBEING:Operational Projects and Programs:Engagement and Wellbeing - Projects and Programs:Behaviour:2020 Problem Sexual Behaviour Procedure and Resources:Downloadable flowcharts, checklists &amp; templates</vt:lpwstr>
  </property>
  <property fmtid="{D5CDD505-2E9C-101B-9397-08002B2CF9AE}" pid="13" name="Objective-Parent">
    <vt:lpwstr>Downloadable flowcharts, checklists &amp; templates</vt:lpwstr>
  </property>
  <property fmtid="{D5CDD505-2E9C-101B-9397-08002B2CF9AE}" pid="14" name="Objective-State">
    <vt:lpwstr>Being Drafted</vt:lpwstr>
  </property>
  <property fmtid="{D5CDD505-2E9C-101B-9397-08002B2CF9AE}" pid="15" name="Objective-VersionId">
    <vt:lpwstr>vA10661233</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DE20/14121</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ENGAGEMENT AND WELLBEING DIRECTORATE</vt:lpwstr>
  </property>
  <property fmtid="{D5CDD505-2E9C-101B-9397-08002B2CF9AE}" pid="23" name="Objective-Education Sites and Services">
    <vt:lpwstr/>
  </property>
  <property fmtid="{D5CDD505-2E9C-101B-9397-08002B2CF9AE}" pid="24" name="Objective-Document Type">
    <vt:lpwstr>Dataset</vt:lpwstr>
  </property>
  <property fmtid="{D5CDD505-2E9C-101B-9397-08002B2CF9AE}" pid="25" name="Objective-Security Classification">
    <vt:lpwstr>OFFICIAL</vt:lpwstr>
  </property>
  <property fmtid="{D5CDD505-2E9C-101B-9397-08002B2CF9AE}" pid="26" name="Objective-Physical Copy on File">
    <vt:lpwstr/>
  </property>
  <property fmtid="{D5CDD505-2E9C-101B-9397-08002B2CF9AE}" pid="27" name="Objective-Description - Abstract">
    <vt:lpwstr/>
  </property>
  <property fmtid="{D5CDD505-2E9C-101B-9397-08002B2CF9AE}" pid="28" name="Objective-Loose Document in Transit to">
    <vt:lpwstr/>
  </property>
  <property fmtid="{D5CDD505-2E9C-101B-9397-08002B2CF9AE}" pid="29" name="Objective-Date Modified - Legacy">
    <vt:lpwstr/>
  </property>
  <property fmtid="{D5CDD505-2E9C-101B-9397-08002B2CF9AE}" pid="30" name="Objective-Comment">
    <vt:lpwstr/>
  </property>
</Properties>
</file>